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5B" w:rsidRPr="00E56C49" w:rsidRDefault="0044125B" w:rsidP="0044125B">
      <w:pPr>
        <w:autoSpaceDE w:val="0"/>
        <w:autoSpaceDN w:val="0"/>
        <w:adjustRightInd w:val="0"/>
        <w:spacing w:before="0" w:beforeAutospacing="0" w:after="0" w:afterAutospacing="0" w:line="240" w:lineRule="auto"/>
        <w:ind w:left="0" w:right="0" w:firstLineChars="200" w:firstLine="643"/>
        <w:jc w:val="left"/>
        <w:rPr>
          <w:rFonts w:ascii="黑体" w:eastAsia="黑体" w:hAnsi="Times New Roman" w:cs="Times New Roman"/>
          <w:b/>
          <w:color w:val="000000" w:themeColor="text1"/>
          <w:sz w:val="32"/>
          <w:szCs w:val="32"/>
        </w:rPr>
      </w:pPr>
      <w:r w:rsidRPr="00E56C49">
        <w:rPr>
          <w:rFonts w:ascii="黑体" w:eastAsia="黑体" w:hAnsi="Times New Roman" w:cs="Times New Roman" w:hint="eastAsia"/>
          <w:b/>
          <w:color w:val="000000" w:themeColor="text1"/>
          <w:sz w:val="32"/>
          <w:szCs w:val="32"/>
        </w:rPr>
        <w:t>附件</w:t>
      </w:r>
      <w:r>
        <w:rPr>
          <w:rFonts w:ascii="黑体" w:eastAsia="黑体" w:hAnsi="Times New Roman" w:cs="Times New Roman" w:hint="eastAsia"/>
          <w:b/>
          <w:color w:val="000000" w:themeColor="text1"/>
          <w:sz w:val="32"/>
          <w:szCs w:val="32"/>
        </w:rPr>
        <w:t>1</w:t>
      </w:r>
      <w:r w:rsidRPr="00E56C49">
        <w:rPr>
          <w:rFonts w:ascii="黑体" w:eastAsia="黑体" w:hAnsi="Times New Roman" w:cs="Times New Roman" w:hint="eastAsia"/>
          <w:b/>
          <w:color w:val="000000" w:themeColor="text1"/>
          <w:sz w:val="32"/>
          <w:szCs w:val="32"/>
        </w:rPr>
        <w:t>：</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黑体" w:eastAsia="黑体" w:hAnsi="Times New Roman" w:cs="Times New Roman"/>
          <w:b/>
          <w:color w:val="000000" w:themeColor="text1"/>
          <w:sz w:val="32"/>
          <w:szCs w:val="32"/>
        </w:rPr>
      </w:pPr>
      <w:r w:rsidRPr="003E7E48">
        <w:rPr>
          <w:rFonts w:ascii="黑体" w:eastAsia="黑体" w:hAnsi="Times New Roman" w:cs="Times New Roman" w:hint="eastAsia"/>
          <w:b/>
          <w:color w:val="000000" w:themeColor="text1"/>
          <w:sz w:val="32"/>
          <w:szCs w:val="32"/>
        </w:rPr>
        <w:t>课题</w:t>
      </w:r>
      <w:proofErr w:type="gramStart"/>
      <w:r w:rsidRPr="003E7E48">
        <w:rPr>
          <w:rFonts w:ascii="黑体" w:eastAsia="黑体" w:hAnsi="Times New Roman" w:cs="Times New Roman" w:hint="eastAsia"/>
          <w:b/>
          <w:color w:val="000000" w:themeColor="text1"/>
          <w:sz w:val="32"/>
          <w:szCs w:val="32"/>
        </w:rPr>
        <w:t>一</w:t>
      </w:r>
      <w:proofErr w:type="gramEnd"/>
      <w:r w:rsidRPr="003E7E48">
        <w:rPr>
          <w:rFonts w:ascii="黑体" w:eastAsia="黑体" w:hAnsi="Times New Roman" w:cs="Times New Roman" w:hint="eastAsia"/>
          <w:b/>
          <w:color w:val="000000" w:themeColor="text1"/>
          <w:sz w:val="32"/>
          <w:szCs w:val="32"/>
        </w:rPr>
        <w:t>：澳门知识产权制度及内澳企业合作前景展望</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Times New Roman" w:cs="Times New Roman"/>
          <w:b/>
          <w:color w:val="000000" w:themeColor="text1"/>
          <w:sz w:val="32"/>
          <w:szCs w:val="32"/>
        </w:rPr>
      </w:pPr>
      <w:r w:rsidRPr="003E7E48">
        <w:rPr>
          <w:rFonts w:ascii="楷体_GB2312" w:eastAsia="楷体_GB2312" w:hAnsi="Times New Roman" w:cs="Times New Roman" w:hint="eastAsia"/>
          <w:b/>
          <w:color w:val="000000" w:themeColor="text1"/>
          <w:sz w:val="32"/>
          <w:szCs w:val="32"/>
        </w:rPr>
        <w:t>1、课程简介</w:t>
      </w: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r w:rsidRPr="003E7E48">
        <w:rPr>
          <w:rFonts w:ascii="仿宋" w:eastAsia="仿宋_GB2312" w:hAnsi="仿宋" w:cs="宋体" w:hint="eastAsia"/>
          <w:color w:val="000000"/>
          <w:kern w:val="0"/>
          <w:sz w:val="32"/>
          <w:szCs w:val="32"/>
        </w:rPr>
        <w:t>本次课程将从澳门知识产权的现状，申请特点，注意事项等方面对澳门商标、专利进行一个概括的讲解。并且将对内澳企业合作的方式，优惠政策等方面进行介绍。</w:t>
      </w:r>
    </w:p>
    <w:p w:rsidR="0044125B" w:rsidRPr="003E7E48"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r w:rsidRPr="003E7E48">
        <w:rPr>
          <w:rFonts w:ascii="楷体_GB2312" w:eastAsia="楷体_GB2312" w:hAnsi="仿宋" w:cs="宋体" w:hint="eastAsia"/>
          <w:b/>
          <w:color w:val="000000"/>
          <w:kern w:val="0"/>
          <w:sz w:val="32"/>
          <w:szCs w:val="32"/>
        </w:rPr>
        <w:t>2、讲师简介</w:t>
      </w:r>
    </w:p>
    <w:tbl>
      <w:tblPr>
        <w:tblW w:w="0" w:type="auto"/>
        <w:tblInd w:w="108" w:type="dxa"/>
        <w:tblLayout w:type="fixed"/>
        <w:tblLook w:val="0000"/>
      </w:tblPr>
      <w:tblGrid>
        <w:gridCol w:w="2264"/>
        <w:gridCol w:w="3690"/>
      </w:tblGrid>
      <w:tr w:rsidR="0044125B" w:rsidTr="00E85009">
        <w:trPr>
          <w:trHeight w:val="3152"/>
        </w:trPr>
        <w:tc>
          <w:tcPr>
            <w:tcW w:w="2264" w:type="dxa"/>
          </w:tcPr>
          <w:p w:rsidR="0044125B" w:rsidRDefault="0044125B" w:rsidP="00E85009">
            <w:pPr>
              <w:ind w:leftChars="-51" w:left="0" w:hangingChars="51" w:hanging="107"/>
              <w:rPr>
                <w:rFonts w:eastAsia="等线"/>
              </w:rPr>
            </w:pPr>
            <w:r>
              <w:rPr>
                <w:rFonts w:eastAsia="等线" w:hint="eastAsia"/>
                <w:noProof/>
              </w:rPr>
              <w:drawing>
                <wp:inline distT="0" distB="0" distL="0" distR="0">
                  <wp:extent cx="1296670" cy="1950085"/>
                  <wp:effectExtent l="19050" t="0" r="0" b="0"/>
                  <wp:docPr id="4" name="图片 2" descr="485A5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5A5306-2"/>
                          <pic:cNvPicPr>
                            <a:picLocks noChangeAspect="1" noChangeArrowheads="1"/>
                          </pic:cNvPicPr>
                        </pic:nvPicPr>
                        <pic:blipFill>
                          <a:blip r:embed="rId5" cstate="print"/>
                          <a:srcRect/>
                          <a:stretch>
                            <a:fillRect/>
                          </a:stretch>
                        </pic:blipFill>
                        <pic:spPr bwMode="auto">
                          <a:xfrm>
                            <a:off x="0" y="0"/>
                            <a:ext cx="1296670" cy="1950085"/>
                          </a:xfrm>
                          <a:prstGeom prst="rect">
                            <a:avLst/>
                          </a:prstGeom>
                          <a:noFill/>
                          <a:ln w="9525" cmpd="sng">
                            <a:noFill/>
                            <a:miter lim="800000"/>
                            <a:headEnd/>
                            <a:tailEnd/>
                          </a:ln>
                        </pic:spPr>
                      </pic:pic>
                    </a:graphicData>
                  </a:graphic>
                </wp:inline>
              </w:drawing>
            </w:r>
          </w:p>
        </w:tc>
        <w:tc>
          <w:tcPr>
            <w:tcW w:w="3690" w:type="dxa"/>
          </w:tcPr>
          <w:p w:rsidR="0044125B" w:rsidRDefault="0044125B" w:rsidP="00E85009">
            <w:pPr>
              <w:rPr>
                <w:rFonts w:ascii="宋体" w:eastAsia="宋体" w:hAnsi="宋体"/>
                <w:b/>
                <w:sz w:val="32"/>
                <w:szCs w:val="32"/>
              </w:rPr>
            </w:pPr>
            <w:r>
              <w:rPr>
                <w:rFonts w:ascii="宋体" w:eastAsia="宋体" w:hAnsi="宋体" w:hint="eastAsia"/>
                <w:b/>
                <w:sz w:val="32"/>
                <w:szCs w:val="32"/>
              </w:rPr>
              <w:t>任</w:t>
            </w:r>
            <w:proofErr w:type="gramStart"/>
            <w:r>
              <w:rPr>
                <w:rFonts w:ascii="宋体" w:eastAsia="宋体" w:hAnsi="宋体" w:hint="eastAsia"/>
                <w:b/>
                <w:sz w:val="32"/>
                <w:szCs w:val="32"/>
              </w:rPr>
              <w:t>羚</w:t>
            </w:r>
            <w:proofErr w:type="gramEnd"/>
          </w:p>
          <w:p w:rsidR="0044125B" w:rsidRPr="006A2AFC" w:rsidRDefault="0044125B" w:rsidP="00E85009">
            <w:pPr>
              <w:rPr>
                <w:rFonts w:ascii="宋体" w:eastAsia="宋体" w:hAnsi="宋体" w:cs="宋体"/>
                <w:sz w:val="24"/>
                <w:szCs w:val="24"/>
              </w:rPr>
            </w:pPr>
            <w:r w:rsidRPr="006A2AFC">
              <w:rPr>
                <w:rFonts w:ascii="宋体" w:eastAsia="宋体" w:hAnsi="宋体" w:cs="宋体" w:hint="eastAsia"/>
                <w:sz w:val="24"/>
                <w:szCs w:val="24"/>
              </w:rPr>
              <w:t>澳门凯旋知识产权代理有限公司</w:t>
            </w:r>
          </w:p>
          <w:p w:rsidR="0044125B" w:rsidRPr="006A2AFC" w:rsidRDefault="0044125B" w:rsidP="00E85009">
            <w:pPr>
              <w:rPr>
                <w:rFonts w:ascii="宋体" w:eastAsia="宋体" w:hAnsi="宋体" w:cs="宋体"/>
                <w:sz w:val="24"/>
                <w:szCs w:val="24"/>
              </w:rPr>
            </w:pPr>
            <w:r w:rsidRPr="006A2AFC">
              <w:rPr>
                <w:rFonts w:ascii="宋体" w:eastAsia="宋体" w:hAnsi="宋体" w:cs="宋体" w:hint="eastAsia"/>
                <w:sz w:val="24"/>
                <w:szCs w:val="24"/>
              </w:rPr>
              <w:t>副总经理</w:t>
            </w:r>
          </w:p>
          <w:p w:rsidR="0044125B" w:rsidRDefault="0044125B" w:rsidP="00E85009">
            <w:pPr>
              <w:ind w:left="0"/>
              <w:rPr>
                <w:rFonts w:ascii="Times New Roman" w:eastAsia="楷体_GB2312" w:hAnsi="Times New Roman"/>
              </w:rPr>
            </w:pPr>
          </w:p>
        </w:tc>
      </w:tr>
    </w:tbl>
    <w:p w:rsidR="0044125B" w:rsidRDefault="0044125B" w:rsidP="0044125B">
      <w:pPr>
        <w:tabs>
          <w:tab w:val="left" w:pos="703"/>
        </w:tabs>
        <w:ind w:firstLineChars="200" w:firstLine="640"/>
        <w:jc w:val="left"/>
        <w:rPr>
          <w:rFonts w:ascii="仿宋" w:eastAsia="仿宋_GB2312" w:hAnsi="仿宋" w:cs="宋体"/>
          <w:color w:val="000000"/>
          <w:kern w:val="0"/>
          <w:sz w:val="32"/>
          <w:szCs w:val="32"/>
        </w:rPr>
      </w:pPr>
      <w:r w:rsidRPr="003E7E48">
        <w:rPr>
          <w:rFonts w:ascii="仿宋" w:eastAsia="仿宋_GB2312" w:hAnsi="仿宋" w:cs="宋体" w:hint="eastAsia"/>
          <w:color w:val="000000"/>
          <w:kern w:val="0"/>
          <w:sz w:val="32"/>
          <w:szCs w:val="32"/>
        </w:rPr>
        <w:t>从事知识产权服务行业多年，具有坚实的知识产权法理论基础以及多年的知识产权实务经验。擅长澳门、香港的商标事务，代理过大量澳门、香港商标的异议、答辩案件，并协助客户进行和解谈判。在协助客户进行澳门投资布局方面也有着独到的见解，已协助办理多家内地上市公司、</w:t>
      </w:r>
      <w:proofErr w:type="gramStart"/>
      <w:r w:rsidRPr="003E7E48">
        <w:rPr>
          <w:rFonts w:ascii="仿宋" w:eastAsia="仿宋_GB2312" w:hAnsi="仿宋" w:cs="宋体" w:hint="eastAsia"/>
          <w:color w:val="000000"/>
          <w:kern w:val="0"/>
          <w:sz w:val="32"/>
          <w:szCs w:val="32"/>
        </w:rPr>
        <w:t>央企在</w:t>
      </w:r>
      <w:proofErr w:type="gramEnd"/>
      <w:r w:rsidRPr="003E7E48">
        <w:rPr>
          <w:rFonts w:ascii="仿宋" w:eastAsia="仿宋_GB2312" w:hAnsi="仿宋" w:cs="宋体" w:hint="eastAsia"/>
          <w:color w:val="000000"/>
          <w:kern w:val="0"/>
          <w:sz w:val="32"/>
          <w:szCs w:val="32"/>
        </w:rPr>
        <w:t>澳门的投资设立</w:t>
      </w:r>
      <w:r>
        <w:rPr>
          <w:rFonts w:ascii="仿宋" w:eastAsia="仿宋_GB2312" w:hAnsi="仿宋" w:cs="宋体" w:hint="eastAsia"/>
          <w:color w:val="000000"/>
          <w:kern w:val="0"/>
          <w:sz w:val="32"/>
          <w:szCs w:val="32"/>
        </w:rPr>
        <w:t>。</w:t>
      </w:r>
    </w:p>
    <w:p w:rsidR="0044125B" w:rsidRDefault="0044125B" w:rsidP="0044125B">
      <w:pPr>
        <w:tabs>
          <w:tab w:val="left" w:pos="703"/>
        </w:tabs>
        <w:ind w:firstLineChars="200" w:firstLine="643"/>
        <w:jc w:val="left"/>
        <w:rPr>
          <w:rFonts w:ascii="黑体" w:eastAsia="黑体" w:hAnsi="Times New Roman" w:cs="Times New Roman"/>
          <w:b/>
          <w:color w:val="000000" w:themeColor="text1"/>
          <w:sz w:val="32"/>
          <w:szCs w:val="32"/>
        </w:rPr>
      </w:pPr>
    </w:p>
    <w:p w:rsidR="0044125B" w:rsidRPr="003E7E48" w:rsidRDefault="0044125B" w:rsidP="0044125B">
      <w:pPr>
        <w:tabs>
          <w:tab w:val="left" w:pos="703"/>
        </w:tabs>
        <w:ind w:firstLineChars="200" w:firstLine="643"/>
        <w:jc w:val="left"/>
        <w:rPr>
          <w:rFonts w:ascii="黑体" w:eastAsia="黑体" w:hAnsi="Times New Roman" w:cs="Times New Roman"/>
          <w:b/>
          <w:color w:val="000000" w:themeColor="text1"/>
          <w:sz w:val="32"/>
          <w:szCs w:val="32"/>
        </w:rPr>
      </w:pPr>
      <w:r w:rsidRPr="003E7E48">
        <w:rPr>
          <w:rFonts w:ascii="黑体" w:eastAsia="黑体" w:hAnsi="Times New Roman" w:cs="Times New Roman" w:hint="eastAsia"/>
          <w:b/>
          <w:color w:val="000000" w:themeColor="text1"/>
          <w:sz w:val="32"/>
          <w:szCs w:val="32"/>
        </w:rPr>
        <w:lastRenderedPageBreak/>
        <w:t>课题二：</w:t>
      </w:r>
      <w:r w:rsidRPr="003E7E48">
        <w:rPr>
          <w:rFonts w:ascii="黑体" w:eastAsia="黑体" w:hAnsi="Times New Roman" w:cs="Times New Roman"/>
          <w:b/>
          <w:color w:val="000000" w:themeColor="text1"/>
          <w:sz w:val="32"/>
          <w:szCs w:val="32"/>
        </w:rPr>
        <w:t>《商标法》第四次修订难点、热点讲评</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Times New Roman" w:cs="Times New Roman"/>
          <w:b/>
          <w:color w:val="000000" w:themeColor="text1"/>
          <w:sz w:val="32"/>
          <w:szCs w:val="32"/>
        </w:rPr>
      </w:pPr>
      <w:r w:rsidRPr="003E7E48">
        <w:rPr>
          <w:rFonts w:ascii="楷体_GB2312" w:eastAsia="楷体_GB2312" w:hAnsi="Times New Roman" w:cs="Times New Roman" w:hint="eastAsia"/>
          <w:b/>
          <w:color w:val="000000" w:themeColor="text1"/>
          <w:sz w:val="32"/>
          <w:szCs w:val="32"/>
        </w:rPr>
        <w:t>1、课程简介</w:t>
      </w: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r>
        <w:rPr>
          <w:rFonts w:ascii="仿宋" w:eastAsia="仿宋_GB2312" w:hAnsi="仿宋" w:cs="宋体" w:hint="eastAsia"/>
          <w:color w:val="000000"/>
          <w:kern w:val="0"/>
          <w:sz w:val="32"/>
          <w:szCs w:val="32"/>
        </w:rPr>
        <w:t>本次课程将讲解商标法第四次修改的几个重点问题，包括商标审查部门对大量抢注及囤积商标的应对措施。</w:t>
      </w:r>
    </w:p>
    <w:p w:rsidR="0044125B" w:rsidRPr="003E7E48"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r w:rsidRPr="003E7E48">
        <w:rPr>
          <w:rFonts w:ascii="楷体_GB2312" w:eastAsia="楷体_GB2312" w:hAnsi="仿宋" w:cs="宋体" w:hint="eastAsia"/>
          <w:b/>
          <w:color w:val="000000"/>
          <w:kern w:val="0"/>
          <w:sz w:val="32"/>
          <w:szCs w:val="32"/>
        </w:rPr>
        <w:t>2、讲师简介</w:t>
      </w:r>
    </w:p>
    <w:tbl>
      <w:tblPr>
        <w:tblW w:w="0" w:type="auto"/>
        <w:tblInd w:w="108" w:type="dxa"/>
        <w:tblLayout w:type="fixed"/>
        <w:tblLook w:val="0000"/>
      </w:tblPr>
      <w:tblGrid>
        <w:gridCol w:w="2264"/>
        <w:gridCol w:w="3690"/>
      </w:tblGrid>
      <w:tr w:rsidR="0044125B" w:rsidTr="00E85009">
        <w:trPr>
          <w:trHeight w:val="3152"/>
        </w:trPr>
        <w:tc>
          <w:tcPr>
            <w:tcW w:w="2264" w:type="dxa"/>
          </w:tcPr>
          <w:p w:rsidR="0044125B" w:rsidRDefault="0044125B" w:rsidP="00E85009">
            <w:pPr>
              <w:ind w:leftChars="-51" w:left="0" w:hangingChars="51" w:hanging="107"/>
              <w:rPr>
                <w:rFonts w:eastAsia="等线"/>
              </w:rPr>
            </w:pPr>
            <w:r>
              <w:rPr>
                <w:rFonts w:eastAsia="等线"/>
                <w:noProof/>
              </w:rPr>
              <w:drawing>
                <wp:inline distT="0" distB="0" distL="0" distR="0">
                  <wp:extent cx="1300480" cy="1825625"/>
                  <wp:effectExtent l="19050" t="0" r="0" b="0"/>
                  <wp:docPr id="2" name="图片 1" descr="IMG_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71.JPG"/>
                          <pic:cNvPicPr/>
                        </pic:nvPicPr>
                        <pic:blipFill>
                          <a:blip r:embed="rId6" cstate="print"/>
                          <a:stretch>
                            <a:fillRect/>
                          </a:stretch>
                        </pic:blipFill>
                        <pic:spPr>
                          <a:xfrm>
                            <a:off x="0" y="0"/>
                            <a:ext cx="1300480" cy="1825625"/>
                          </a:xfrm>
                          <a:prstGeom prst="rect">
                            <a:avLst/>
                          </a:prstGeom>
                        </pic:spPr>
                      </pic:pic>
                    </a:graphicData>
                  </a:graphic>
                </wp:inline>
              </w:drawing>
            </w:r>
          </w:p>
        </w:tc>
        <w:tc>
          <w:tcPr>
            <w:tcW w:w="3690" w:type="dxa"/>
          </w:tcPr>
          <w:p w:rsidR="0044125B" w:rsidRDefault="0044125B" w:rsidP="00E85009">
            <w:pPr>
              <w:rPr>
                <w:rFonts w:ascii="宋体" w:eastAsia="宋体" w:hAnsi="宋体"/>
                <w:b/>
                <w:sz w:val="32"/>
                <w:szCs w:val="32"/>
              </w:rPr>
            </w:pPr>
            <w:proofErr w:type="gramStart"/>
            <w:r>
              <w:rPr>
                <w:rFonts w:ascii="宋体" w:eastAsia="宋体" w:hAnsi="宋体" w:hint="eastAsia"/>
                <w:b/>
                <w:sz w:val="32"/>
                <w:szCs w:val="32"/>
              </w:rPr>
              <w:t>熊培新</w:t>
            </w:r>
            <w:proofErr w:type="gramEnd"/>
          </w:p>
          <w:p w:rsidR="0044125B" w:rsidRPr="006A2AFC" w:rsidRDefault="0044125B" w:rsidP="00E85009">
            <w:pPr>
              <w:rPr>
                <w:rFonts w:ascii="宋体" w:eastAsia="宋体" w:hAnsi="宋体" w:cs="宋体"/>
                <w:sz w:val="24"/>
                <w:szCs w:val="24"/>
              </w:rPr>
            </w:pPr>
            <w:r w:rsidRPr="006A2AFC">
              <w:rPr>
                <w:rFonts w:ascii="宋体" w:eastAsia="宋体" w:hAnsi="宋体" w:cs="宋体"/>
                <w:sz w:val="24"/>
                <w:szCs w:val="24"/>
              </w:rPr>
              <w:t>商标审查协作广州中心</w:t>
            </w:r>
          </w:p>
          <w:p w:rsidR="0044125B" w:rsidRPr="006A2AFC" w:rsidRDefault="0044125B" w:rsidP="00E85009">
            <w:pPr>
              <w:rPr>
                <w:rFonts w:ascii="宋体" w:eastAsia="宋体" w:hAnsi="宋体" w:cs="宋体"/>
                <w:sz w:val="24"/>
                <w:szCs w:val="24"/>
              </w:rPr>
            </w:pPr>
            <w:r w:rsidRPr="006A2AFC">
              <w:rPr>
                <w:rFonts w:ascii="宋体" w:eastAsia="宋体" w:hAnsi="宋体" w:cs="宋体"/>
                <w:sz w:val="24"/>
                <w:szCs w:val="24"/>
              </w:rPr>
              <w:t>副主任</w:t>
            </w:r>
          </w:p>
          <w:p w:rsidR="0044125B" w:rsidRDefault="0044125B" w:rsidP="00E85009">
            <w:pPr>
              <w:rPr>
                <w:rFonts w:ascii="Times New Roman" w:eastAsia="楷体_GB2312" w:hAnsi="Times New Roman"/>
              </w:rPr>
            </w:pPr>
          </w:p>
        </w:tc>
      </w:tr>
    </w:tbl>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r w:rsidRPr="00176708">
        <w:rPr>
          <w:rFonts w:ascii="仿宋" w:eastAsia="仿宋_GB2312" w:hAnsi="仿宋" w:cs="宋体" w:hint="eastAsia"/>
          <w:color w:val="000000"/>
          <w:kern w:val="0"/>
          <w:sz w:val="32"/>
          <w:szCs w:val="32"/>
        </w:rPr>
        <w:t>一直在商评委、商标局多个业务部门工作，</w:t>
      </w:r>
      <w:r w:rsidRPr="00176708">
        <w:rPr>
          <w:rFonts w:ascii="仿宋" w:eastAsia="仿宋_GB2312" w:hAnsi="仿宋" w:cs="宋体" w:hint="eastAsia"/>
          <w:color w:val="000000"/>
          <w:kern w:val="0"/>
          <w:sz w:val="32"/>
          <w:szCs w:val="32"/>
        </w:rPr>
        <w:t>2017</w:t>
      </w:r>
      <w:r w:rsidRPr="00176708">
        <w:rPr>
          <w:rFonts w:ascii="仿宋" w:eastAsia="仿宋_GB2312" w:hAnsi="仿宋" w:cs="宋体" w:hint="eastAsia"/>
          <w:color w:val="000000"/>
          <w:kern w:val="0"/>
          <w:sz w:val="32"/>
          <w:szCs w:val="32"/>
        </w:rPr>
        <w:t>年</w:t>
      </w:r>
      <w:r w:rsidRPr="00176708">
        <w:rPr>
          <w:rFonts w:ascii="仿宋" w:eastAsia="仿宋_GB2312" w:hAnsi="仿宋" w:cs="宋体" w:hint="eastAsia"/>
          <w:color w:val="000000"/>
          <w:kern w:val="0"/>
          <w:sz w:val="32"/>
          <w:szCs w:val="32"/>
        </w:rPr>
        <w:t>3</w:t>
      </w:r>
      <w:r w:rsidRPr="00176708">
        <w:rPr>
          <w:rFonts w:ascii="仿宋" w:eastAsia="仿宋_GB2312" w:hAnsi="仿宋" w:cs="宋体" w:hint="eastAsia"/>
          <w:color w:val="000000"/>
          <w:kern w:val="0"/>
          <w:sz w:val="32"/>
          <w:szCs w:val="32"/>
        </w:rPr>
        <w:t>月起任国家工商总局商标审查协作广州中心副主任，主管业务工作。长期从事商标申请实质审查及商标争议工作，对商标申请、争议及诉讼较为熟悉。近年来，较多从事商标业务培训工作，先后几十次为广大政府基层干部、律师、商标代理人、企业管理层及法</w:t>
      </w:r>
      <w:proofErr w:type="gramStart"/>
      <w:r w:rsidRPr="00176708">
        <w:rPr>
          <w:rFonts w:ascii="仿宋" w:eastAsia="仿宋_GB2312" w:hAnsi="仿宋" w:cs="宋体" w:hint="eastAsia"/>
          <w:color w:val="000000"/>
          <w:kern w:val="0"/>
          <w:sz w:val="32"/>
          <w:szCs w:val="32"/>
        </w:rPr>
        <w:t>务</w:t>
      </w:r>
      <w:proofErr w:type="gramEnd"/>
      <w:r w:rsidRPr="00176708">
        <w:rPr>
          <w:rFonts w:ascii="仿宋" w:eastAsia="仿宋_GB2312" w:hAnsi="仿宋" w:cs="宋体" w:hint="eastAsia"/>
          <w:color w:val="000000"/>
          <w:kern w:val="0"/>
          <w:sz w:val="32"/>
          <w:szCs w:val="32"/>
        </w:rPr>
        <w:t>人员讲授商标业务。</w:t>
      </w:r>
      <w:r w:rsidRPr="00176708">
        <w:rPr>
          <w:rFonts w:ascii="仿宋" w:eastAsia="仿宋_GB2312" w:hAnsi="仿宋" w:cs="宋体" w:hint="eastAsia"/>
          <w:color w:val="000000"/>
          <w:kern w:val="0"/>
          <w:sz w:val="32"/>
          <w:szCs w:val="32"/>
        </w:rPr>
        <w:t>2014</w:t>
      </w:r>
      <w:r w:rsidRPr="00176708">
        <w:rPr>
          <w:rFonts w:ascii="仿宋" w:eastAsia="仿宋_GB2312" w:hAnsi="仿宋" w:cs="宋体" w:hint="eastAsia"/>
          <w:color w:val="000000"/>
          <w:kern w:val="0"/>
          <w:sz w:val="32"/>
          <w:szCs w:val="32"/>
        </w:rPr>
        <w:t>、</w:t>
      </w:r>
      <w:r w:rsidRPr="00176708">
        <w:rPr>
          <w:rFonts w:ascii="仿宋" w:eastAsia="仿宋_GB2312" w:hAnsi="仿宋" w:cs="宋体" w:hint="eastAsia"/>
          <w:color w:val="000000"/>
          <w:kern w:val="0"/>
          <w:sz w:val="32"/>
          <w:szCs w:val="32"/>
        </w:rPr>
        <w:t>2015</w:t>
      </w:r>
      <w:r w:rsidRPr="00176708">
        <w:rPr>
          <w:rFonts w:ascii="仿宋" w:eastAsia="仿宋_GB2312" w:hAnsi="仿宋" w:cs="宋体" w:hint="eastAsia"/>
          <w:color w:val="000000"/>
          <w:kern w:val="0"/>
          <w:sz w:val="32"/>
          <w:szCs w:val="32"/>
        </w:rPr>
        <w:t>年连续两年为全国工商系统省局主管商标副局长及商标处长讲授商标评审业务，所授课程列入全国工商干部选修课程。</w:t>
      </w: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Pr="003E7E48" w:rsidRDefault="0044125B" w:rsidP="0044125B">
      <w:pPr>
        <w:tabs>
          <w:tab w:val="left" w:pos="703"/>
        </w:tabs>
        <w:ind w:firstLineChars="200" w:firstLine="643"/>
        <w:jc w:val="left"/>
        <w:rPr>
          <w:rFonts w:ascii="黑体" w:eastAsia="黑体" w:hAnsi="Times New Roman" w:cs="Times New Roman"/>
          <w:b/>
          <w:color w:val="000000" w:themeColor="text1"/>
          <w:sz w:val="32"/>
          <w:szCs w:val="32"/>
        </w:rPr>
      </w:pPr>
      <w:r w:rsidRPr="003E7E48">
        <w:rPr>
          <w:rFonts w:ascii="黑体" w:eastAsia="黑体" w:hAnsi="Times New Roman" w:cs="Times New Roman" w:hint="eastAsia"/>
          <w:b/>
          <w:color w:val="000000" w:themeColor="text1"/>
          <w:sz w:val="32"/>
          <w:szCs w:val="32"/>
        </w:rPr>
        <w:lastRenderedPageBreak/>
        <w:t>课题</w:t>
      </w:r>
      <w:r>
        <w:rPr>
          <w:rFonts w:ascii="黑体" w:eastAsia="黑体" w:hAnsi="Times New Roman" w:cs="Times New Roman" w:hint="eastAsia"/>
          <w:b/>
          <w:color w:val="000000" w:themeColor="text1"/>
          <w:sz w:val="32"/>
          <w:szCs w:val="32"/>
        </w:rPr>
        <w:t>三</w:t>
      </w:r>
      <w:r w:rsidRPr="003E7E48">
        <w:rPr>
          <w:rFonts w:ascii="黑体" w:eastAsia="黑体" w:hAnsi="Times New Roman" w:cs="Times New Roman" w:hint="eastAsia"/>
          <w:b/>
          <w:color w:val="000000" w:themeColor="text1"/>
          <w:sz w:val="32"/>
          <w:szCs w:val="32"/>
        </w:rPr>
        <w:t>：</w:t>
      </w:r>
      <w:r w:rsidRPr="00176708">
        <w:rPr>
          <w:rFonts w:ascii="黑体" w:eastAsia="黑体" w:hAnsi="Times New Roman" w:cs="Times New Roman"/>
          <w:b/>
          <w:color w:val="000000" w:themeColor="text1"/>
          <w:sz w:val="32"/>
          <w:szCs w:val="32"/>
        </w:rPr>
        <w:t>海外商标发展战略规划及法律风险防控</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Times New Roman" w:cs="Times New Roman"/>
          <w:b/>
          <w:color w:val="000000" w:themeColor="text1"/>
          <w:sz w:val="32"/>
          <w:szCs w:val="32"/>
        </w:rPr>
      </w:pPr>
      <w:r w:rsidRPr="003E7E48">
        <w:rPr>
          <w:rFonts w:ascii="楷体_GB2312" w:eastAsia="楷体_GB2312" w:hAnsi="Times New Roman" w:cs="Times New Roman" w:hint="eastAsia"/>
          <w:b/>
          <w:color w:val="000000" w:themeColor="text1"/>
          <w:sz w:val="32"/>
          <w:szCs w:val="32"/>
        </w:rPr>
        <w:t>1、课程简介</w:t>
      </w:r>
    </w:p>
    <w:p w:rsidR="0044125B" w:rsidRPr="00176708"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r w:rsidRPr="00176708">
        <w:rPr>
          <w:rFonts w:ascii="仿宋" w:eastAsia="仿宋_GB2312" w:hAnsi="仿宋" w:cs="宋体" w:hint="eastAsia"/>
          <w:color w:val="000000"/>
          <w:kern w:val="0"/>
          <w:sz w:val="32"/>
          <w:szCs w:val="32"/>
        </w:rPr>
        <w:t>通过多年国内外实践经验，分享企业在海外商标品牌布局、维权等方面面临的各项法律风险问题以及应对策略</w:t>
      </w:r>
      <w:r>
        <w:rPr>
          <w:rFonts w:ascii="仿宋" w:eastAsia="仿宋_GB2312" w:hAnsi="仿宋" w:cs="宋体" w:hint="eastAsia"/>
          <w:color w:val="000000"/>
          <w:kern w:val="0"/>
          <w:sz w:val="32"/>
          <w:szCs w:val="32"/>
        </w:rPr>
        <w:t>。</w:t>
      </w:r>
    </w:p>
    <w:p w:rsidR="0044125B" w:rsidRPr="003E7E48"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r w:rsidRPr="003E7E48">
        <w:rPr>
          <w:rFonts w:ascii="楷体_GB2312" w:eastAsia="楷体_GB2312" w:hAnsi="仿宋" w:cs="宋体" w:hint="eastAsia"/>
          <w:b/>
          <w:color w:val="000000"/>
          <w:kern w:val="0"/>
          <w:sz w:val="32"/>
          <w:szCs w:val="32"/>
        </w:rPr>
        <w:t>2、讲师简介</w:t>
      </w:r>
    </w:p>
    <w:tbl>
      <w:tblPr>
        <w:tblW w:w="0" w:type="auto"/>
        <w:tblInd w:w="108" w:type="dxa"/>
        <w:tblLayout w:type="fixed"/>
        <w:tblLook w:val="0000"/>
      </w:tblPr>
      <w:tblGrid>
        <w:gridCol w:w="2264"/>
        <w:gridCol w:w="3690"/>
      </w:tblGrid>
      <w:tr w:rsidR="0044125B" w:rsidTr="00E85009">
        <w:trPr>
          <w:trHeight w:val="3152"/>
        </w:trPr>
        <w:tc>
          <w:tcPr>
            <w:tcW w:w="2264" w:type="dxa"/>
          </w:tcPr>
          <w:p w:rsidR="0044125B" w:rsidRDefault="0044125B" w:rsidP="00E85009">
            <w:pPr>
              <w:ind w:leftChars="-51" w:left="0" w:hangingChars="51" w:hanging="107"/>
              <w:rPr>
                <w:rFonts w:eastAsia="等线"/>
              </w:rPr>
            </w:pPr>
            <w:r w:rsidRPr="00176708">
              <w:rPr>
                <w:rFonts w:eastAsia="等线" w:hint="eastAsia"/>
                <w:noProof/>
              </w:rPr>
              <w:drawing>
                <wp:inline distT="0" distB="0" distL="114300" distR="114300">
                  <wp:extent cx="1287625" cy="1932617"/>
                  <wp:effectExtent l="19050" t="0" r="7775" b="0"/>
                  <wp:docPr id="6" name="图片 2" descr="FG7A1775.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G7A1775.jpg1"/>
                          <pic:cNvPicPr>
                            <a:picLocks noChangeAspect="1"/>
                          </pic:cNvPicPr>
                        </pic:nvPicPr>
                        <pic:blipFill>
                          <a:blip r:embed="rId7" cstate="print"/>
                          <a:stretch>
                            <a:fillRect/>
                          </a:stretch>
                        </pic:blipFill>
                        <pic:spPr>
                          <a:xfrm>
                            <a:off x="0" y="0"/>
                            <a:ext cx="1291004" cy="1937689"/>
                          </a:xfrm>
                          <a:prstGeom prst="rect">
                            <a:avLst/>
                          </a:prstGeom>
                        </pic:spPr>
                      </pic:pic>
                    </a:graphicData>
                  </a:graphic>
                </wp:inline>
              </w:drawing>
            </w:r>
          </w:p>
        </w:tc>
        <w:tc>
          <w:tcPr>
            <w:tcW w:w="3690" w:type="dxa"/>
          </w:tcPr>
          <w:p w:rsidR="0044125B" w:rsidRPr="00176708" w:rsidRDefault="0044125B" w:rsidP="00E85009">
            <w:pPr>
              <w:rPr>
                <w:rFonts w:ascii="宋体" w:eastAsia="宋体" w:hAnsi="宋体"/>
                <w:b/>
                <w:sz w:val="32"/>
                <w:szCs w:val="32"/>
              </w:rPr>
            </w:pPr>
            <w:r w:rsidRPr="00176708">
              <w:rPr>
                <w:rFonts w:ascii="宋体" w:eastAsia="宋体" w:hAnsi="宋体" w:hint="eastAsia"/>
                <w:b/>
                <w:sz w:val="32"/>
                <w:szCs w:val="32"/>
              </w:rPr>
              <w:t>阮煜茵</w:t>
            </w:r>
          </w:p>
          <w:p w:rsidR="0044125B" w:rsidRDefault="0044125B" w:rsidP="00E85009">
            <w:pPr>
              <w:rPr>
                <w:rFonts w:ascii="Times New Roman" w:eastAsia="楷体_GB2312" w:hAnsi="Times New Roman"/>
              </w:rPr>
            </w:pPr>
            <w:r>
              <w:rPr>
                <w:rFonts w:ascii="宋体" w:hAnsi="宋体" w:hint="eastAsia"/>
                <w:sz w:val="24"/>
                <w:szCs w:val="30"/>
              </w:rPr>
              <w:t>深圳市知识产权专家, 知识产权副研究员，精英知识产权集团国际部负责人</w:t>
            </w:r>
          </w:p>
        </w:tc>
      </w:tr>
    </w:tbl>
    <w:p w:rsidR="0044125B" w:rsidRPr="00176708" w:rsidRDefault="0044125B" w:rsidP="0044125B">
      <w:pPr>
        <w:ind w:firstLineChars="200" w:firstLine="640"/>
        <w:rPr>
          <w:rFonts w:ascii="仿宋" w:eastAsia="仿宋_GB2312" w:hAnsi="仿宋" w:cs="宋体"/>
          <w:color w:val="000000"/>
          <w:kern w:val="0"/>
          <w:sz w:val="32"/>
          <w:szCs w:val="32"/>
        </w:rPr>
      </w:pPr>
      <w:r w:rsidRPr="00176708">
        <w:rPr>
          <w:rFonts w:ascii="仿宋" w:eastAsia="仿宋_GB2312" w:hAnsi="仿宋" w:cs="宋体" w:hint="eastAsia"/>
          <w:color w:val="000000"/>
          <w:kern w:val="0"/>
          <w:sz w:val="32"/>
          <w:szCs w:val="32"/>
        </w:rPr>
        <w:t>深圳市知识产权专家委员会专家，至今已从事知识产权工作二十一年，曾在中国商标专利事务所深圳分所、香港永新专利事务所深圳分所、广东广和律师事务所、广东知恒律师事务所任职，现任精英知识产权集团国际部总监。从业以来，主要负责处理国际知识产权事务，先后协助上百家国内外知名企业在国内及国际处理知识产权事务。也应邀为企业提供过多场国际商标事务培训。</w:t>
      </w: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黑体" w:eastAsia="黑体" w:hAnsi="Times New Roman" w:cs="Times New Roman"/>
          <w:b/>
          <w:color w:val="000000" w:themeColor="text1"/>
          <w:sz w:val="32"/>
          <w:szCs w:val="32"/>
        </w:rPr>
      </w:pPr>
      <w:r w:rsidRPr="00A413CF">
        <w:rPr>
          <w:rFonts w:ascii="黑体" w:eastAsia="黑体" w:hAnsi="Times New Roman" w:cs="Times New Roman" w:hint="eastAsia"/>
          <w:b/>
          <w:color w:val="000000" w:themeColor="text1"/>
          <w:sz w:val="32"/>
          <w:szCs w:val="32"/>
        </w:rPr>
        <w:lastRenderedPageBreak/>
        <w:t>课题四：</w:t>
      </w:r>
      <w:r w:rsidRPr="00A413CF">
        <w:rPr>
          <w:rFonts w:ascii="黑体" w:eastAsia="黑体" w:hAnsi="Times New Roman" w:cs="Times New Roman"/>
          <w:b/>
          <w:color w:val="000000" w:themeColor="text1"/>
          <w:sz w:val="32"/>
          <w:szCs w:val="32"/>
        </w:rPr>
        <w:t>知名企业商标维权、品牌保护实务经验分享</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Times New Roman" w:cs="Times New Roman"/>
          <w:b/>
          <w:color w:val="000000" w:themeColor="text1"/>
          <w:sz w:val="32"/>
          <w:szCs w:val="32"/>
        </w:rPr>
      </w:pPr>
      <w:r w:rsidRPr="003E7E48">
        <w:rPr>
          <w:rFonts w:ascii="楷体_GB2312" w:eastAsia="楷体_GB2312" w:hAnsi="Times New Roman" w:cs="Times New Roman" w:hint="eastAsia"/>
          <w:b/>
          <w:color w:val="000000" w:themeColor="text1"/>
          <w:sz w:val="32"/>
          <w:szCs w:val="32"/>
        </w:rPr>
        <w:t>1、课程简介</w:t>
      </w:r>
    </w:p>
    <w:p w:rsidR="0044125B" w:rsidRPr="006B35A5"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r w:rsidRPr="006B35A5">
        <w:rPr>
          <w:rFonts w:ascii="仿宋" w:eastAsia="仿宋_GB2312" w:hAnsi="仿宋" w:cs="宋体" w:hint="eastAsia"/>
          <w:color w:val="000000"/>
          <w:kern w:val="0"/>
          <w:sz w:val="32"/>
          <w:szCs w:val="32"/>
        </w:rPr>
        <w:t>商标维权的</w:t>
      </w:r>
      <w:r w:rsidRPr="006B35A5">
        <w:rPr>
          <w:rFonts w:ascii="仿宋" w:eastAsia="仿宋_GB2312" w:hAnsi="仿宋" w:cs="宋体" w:hint="eastAsia"/>
          <w:color w:val="000000"/>
          <w:kern w:val="0"/>
          <w:sz w:val="32"/>
          <w:szCs w:val="32"/>
        </w:rPr>
        <w:t>2+3</w:t>
      </w:r>
      <w:r w:rsidRPr="006B35A5">
        <w:rPr>
          <w:rFonts w:ascii="仿宋" w:eastAsia="仿宋_GB2312" w:hAnsi="仿宋" w:cs="宋体" w:hint="eastAsia"/>
          <w:color w:val="000000"/>
          <w:kern w:val="0"/>
          <w:sz w:val="32"/>
          <w:szCs w:val="32"/>
        </w:rPr>
        <w:t>模式——从企业法</w:t>
      </w:r>
      <w:proofErr w:type="gramStart"/>
      <w:r w:rsidRPr="006B35A5">
        <w:rPr>
          <w:rFonts w:ascii="仿宋" w:eastAsia="仿宋_GB2312" w:hAnsi="仿宋" w:cs="宋体" w:hint="eastAsia"/>
          <w:color w:val="000000"/>
          <w:kern w:val="0"/>
          <w:sz w:val="32"/>
          <w:szCs w:val="32"/>
        </w:rPr>
        <w:t>务</w:t>
      </w:r>
      <w:proofErr w:type="gramEnd"/>
      <w:r w:rsidRPr="006B35A5">
        <w:rPr>
          <w:rFonts w:ascii="仿宋" w:eastAsia="仿宋_GB2312" w:hAnsi="仿宋" w:cs="宋体" w:hint="eastAsia"/>
          <w:color w:val="000000"/>
          <w:kern w:val="0"/>
          <w:sz w:val="32"/>
          <w:szCs w:val="32"/>
        </w:rPr>
        <w:t>角度</w:t>
      </w:r>
      <w:proofErr w:type="gramStart"/>
      <w:r w:rsidRPr="006B35A5">
        <w:rPr>
          <w:rFonts w:ascii="仿宋" w:eastAsia="仿宋_GB2312" w:hAnsi="仿宋" w:cs="宋体" w:hint="eastAsia"/>
          <w:color w:val="000000"/>
          <w:kern w:val="0"/>
          <w:sz w:val="32"/>
          <w:szCs w:val="32"/>
        </w:rPr>
        <w:t>谈品牌</w:t>
      </w:r>
      <w:proofErr w:type="gramEnd"/>
      <w:r w:rsidRPr="006B35A5">
        <w:rPr>
          <w:rFonts w:ascii="仿宋" w:eastAsia="仿宋_GB2312" w:hAnsi="仿宋" w:cs="宋体" w:hint="eastAsia"/>
          <w:color w:val="000000"/>
          <w:kern w:val="0"/>
          <w:sz w:val="32"/>
          <w:szCs w:val="32"/>
        </w:rPr>
        <w:t>保护</w:t>
      </w:r>
      <w:r>
        <w:rPr>
          <w:rFonts w:ascii="仿宋" w:eastAsia="仿宋_GB2312" w:hAnsi="仿宋" w:cs="宋体" w:hint="eastAsia"/>
          <w:color w:val="000000"/>
          <w:kern w:val="0"/>
          <w:sz w:val="32"/>
          <w:szCs w:val="32"/>
        </w:rPr>
        <w:t>。</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r w:rsidRPr="003E7E48">
        <w:rPr>
          <w:rFonts w:ascii="楷体_GB2312" w:eastAsia="楷体_GB2312" w:hAnsi="仿宋" w:cs="宋体" w:hint="eastAsia"/>
          <w:b/>
          <w:color w:val="000000"/>
          <w:kern w:val="0"/>
          <w:sz w:val="32"/>
          <w:szCs w:val="32"/>
        </w:rPr>
        <w:t>2、讲师简介</w:t>
      </w:r>
    </w:p>
    <w:tbl>
      <w:tblPr>
        <w:tblW w:w="0" w:type="auto"/>
        <w:tblInd w:w="108" w:type="dxa"/>
        <w:tblLayout w:type="fixed"/>
        <w:tblLook w:val="0000"/>
      </w:tblPr>
      <w:tblGrid>
        <w:gridCol w:w="2264"/>
        <w:gridCol w:w="3690"/>
      </w:tblGrid>
      <w:tr w:rsidR="0044125B" w:rsidTr="00E85009">
        <w:trPr>
          <w:trHeight w:val="3152"/>
        </w:trPr>
        <w:tc>
          <w:tcPr>
            <w:tcW w:w="2264" w:type="dxa"/>
          </w:tcPr>
          <w:p w:rsidR="0044125B" w:rsidRDefault="0044125B" w:rsidP="00E85009">
            <w:pPr>
              <w:ind w:leftChars="-51" w:left="0" w:hangingChars="51" w:hanging="107"/>
              <w:rPr>
                <w:rFonts w:eastAsia="等线"/>
              </w:rPr>
            </w:pPr>
            <w:r>
              <w:rPr>
                <w:rFonts w:eastAsia="等线"/>
                <w:noProof/>
              </w:rPr>
              <w:drawing>
                <wp:inline distT="0" distB="0" distL="0" distR="0">
                  <wp:extent cx="1300480" cy="1621155"/>
                  <wp:effectExtent l="19050" t="0" r="0" b="0"/>
                  <wp:docPr id="5" name="图片 4" descr="IMG_1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73.PNG"/>
                          <pic:cNvPicPr/>
                        </pic:nvPicPr>
                        <pic:blipFill>
                          <a:blip r:embed="rId8" cstate="print"/>
                          <a:stretch>
                            <a:fillRect/>
                          </a:stretch>
                        </pic:blipFill>
                        <pic:spPr>
                          <a:xfrm>
                            <a:off x="0" y="0"/>
                            <a:ext cx="1300480" cy="1621155"/>
                          </a:xfrm>
                          <a:prstGeom prst="rect">
                            <a:avLst/>
                          </a:prstGeom>
                        </pic:spPr>
                      </pic:pic>
                    </a:graphicData>
                  </a:graphic>
                </wp:inline>
              </w:drawing>
            </w:r>
          </w:p>
        </w:tc>
        <w:tc>
          <w:tcPr>
            <w:tcW w:w="3690" w:type="dxa"/>
          </w:tcPr>
          <w:p w:rsidR="0044125B" w:rsidRPr="00F619C4" w:rsidRDefault="0044125B" w:rsidP="00E85009">
            <w:pPr>
              <w:rPr>
                <w:rFonts w:ascii="宋体" w:eastAsia="宋体" w:hAnsi="宋体"/>
                <w:b/>
                <w:sz w:val="32"/>
                <w:szCs w:val="32"/>
              </w:rPr>
            </w:pPr>
            <w:r w:rsidRPr="00F619C4">
              <w:rPr>
                <w:rFonts w:ascii="宋体" w:eastAsia="宋体" w:hAnsi="宋体" w:hint="eastAsia"/>
                <w:b/>
                <w:sz w:val="32"/>
                <w:szCs w:val="32"/>
              </w:rPr>
              <w:t>王哲</w:t>
            </w:r>
          </w:p>
          <w:p w:rsidR="0044125B" w:rsidRPr="00F619C4" w:rsidRDefault="0044125B" w:rsidP="00E85009">
            <w:pPr>
              <w:rPr>
                <w:rFonts w:ascii="宋体" w:hAnsi="宋体"/>
                <w:sz w:val="24"/>
                <w:szCs w:val="30"/>
              </w:rPr>
            </w:pPr>
            <w:r w:rsidRPr="00F619C4">
              <w:rPr>
                <w:rFonts w:ascii="宋体" w:hAnsi="宋体" w:hint="eastAsia"/>
                <w:sz w:val="24"/>
                <w:szCs w:val="30"/>
              </w:rPr>
              <w:t>美的集团品牌保护负责人</w:t>
            </w:r>
          </w:p>
        </w:tc>
      </w:tr>
    </w:tbl>
    <w:p w:rsidR="0044125B" w:rsidRPr="00F619C4"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r w:rsidRPr="00F619C4">
        <w:rPr>
          <w:rFonts w:ascii="仿宋" w:eastAsia="仿宋_GB2312" w:hAnsi="仿宋" w:cs="宋体" w:hint="eastAsia"/>
          <w:color w:val="000000"/>
          <w:kern w:val="0"/>
          <w:sz w:val="32"/>
          <w:szCs w:val="32"/>
        </w:rPr>
        <w:t>拥有</w:t>
      </w:r>
      <w:r w:rsidRPr="00F619C4">
        <w:rPr>
          <w:rFonts w:ascii="仿宋" w:eastAsia="仿宋_GB2312" w:hAnsi="仿宋" w:cs="宋体" w:hint="eastAsia"/>
          <w:color w:val="000000"/>
          <w:kern w:val="0"/>
          <w:sz w:val="32"/>
          <w:szCs w:val="32"/>
        </w:rPr>
        <w:t>15</w:t>
      </w:r>
      <w:r w:rsidRPr="00F619C4">
        <w:rPr>
          <w:rFonts w:ascii="仿宋" w:eastAsia="仿宋_GB2312" w:hAnsi="仿宋" w:cs="宋体" w:hint="eastAsia"/>
          <w:color w:val="000000"/>
          <w:kern w:val="0"/>
          <w:sz w:val="32"/>
          <w:szCs w:val="32"/>
        </w:rPr>
        <w:t>年企业法</w:t>
      </w:r>
      <w:proofErr w:type="gramStart"/>
      <w:r w:rsidRPr="00F619C4">
        <w:rPr>
          <w:rFonts w:ascii="仿宋" w:eastAsia="仿宋_GB2312" w:hAnsi="仿宋" w:cs="宋体" w:hint="eastAsia"/>
          <w:color w:val="000000"/>
          <w:kern w:val="0"/>
          <w:sz w:val="32"/>
          <w:szCs w:val="32"/>
        </w:rPr>
        <w:t>务</w:t>
      </w:r>
      <w:proofErr w:type="gramEnd"/>
      <w:r w:rsidRPr="00F619C4">
        <w:rPr>
          <w:rFonts w:ascii="仿宋" w:eastAsia="仿宋_GB2312" w:hAnsi="仿宋" w:cs="宋体" w:hint="eastAsia"/>
          <w:color w:val="000000"/>
          <w:kern w:val="0"/>
          <w:sz w:val="32"/>
          <w:szCs w:val="32"/>
        </w:rPr>
        <w:t>经验，是广东省商标协会商标战略专家委员会专家。</w:t>
      </w:r>
    </w:p>
    <w:p w:rsidR="0044125B" w:rsidRPr="00F619C4" w:rsidRDefault="0044125B" w:rsidP="0044125B">
      <w:pPr>
        <w:autoSpaceDE w:val="0"/>
        <w:autoSpaceDN w:val="0"/>
        <w:adjustRightInd w:val="0"/>
        <w:spacing w:before="0" w:beforeAutospacing="0" w:after="0" w:afterAutospacing="0" w:line="240" w:lineRule="auto"/>
        <w:ind w:left="0" w:right="0" w:firstLineChars="200" w:firstLine="640"/>
        <w:jc w:val="left"/>
        <w:rPr>
          <w:rFonts w:ascii="仿宋" w:eastAsia="仿宋_GB2312" w:hAnsi="仿宋" w:cs="宋体"/>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黑体" w:eastAsia="黑体" w:hAnsi="Times New Roman" w:cs="Times New Roman"/>
          <w:b/>
          <w:color w:val="000000" w:themeColor="text1"/>
          <w:sz w:val="32"/>
          <w:szCs w:val="32"/>
        </w:rPr>
      </w:pPr>
      <w:r w:rsidRPr="00A413CF">
        <w:rPr>
          <w:rFonts w:ascii="黑体" w:eastAsia="黑体" w:hAnsi="Times New Roman" w:cs="Times New Roman" w:hint="eastAsia"/>
          <w:b/>
          <w:color w:val="000000" w:themeColor="text1"/>
          <w:sz w:val="32"/>
          <w:szCs w:val="32"/>
        </w:rPr>
        <w:lastRenderedPageBreak/>
        <w:t>课题</w:t>
      </w:r>
      <w:r>
        <w:rPr>
          <w:rFonts w:ascii="黑体" w:eastAsia="黑体" w:hAnsi="Times New Roman" w:cs="Times New Roman" w:hint="eastAsia"/>
          <w:b/>
          <w:color w:val="000000" w:themeColor="text1"/>
          <w:sz w:val="32"/>
          <w:szCs w:val="32"/>
        </w:rPr>
        <w:t>五</w:t>
      </w:r>
      <w:r w:rsidRPr="00A413CF">
        <w:rPr>
          <w:rFonts w:ascii="黑体" w:eastAsia="黑体" w:hAnsi="Times New Roman" w:cs="Times New Roman" w:hint="eastAsia"/>
          <w:b/>
          <w:color w:val="000000" w:themeColor="text1"/>
          <w:sz w:val="32"/>
          <w:szCs w:val="32"/>
        </w:rPr>
        <w:t>：</w:t>
      </w:r>
      <w:r w:rsidRPr="00443420">
        <w:rPr>
          <w:rFonts w:ascii="黑体" w:eastAsia="黑体" w:hAnsi="Times New Roman" w:cs="Times New Roman"/>
          <w:b/>
          <w:color w:val="000000" w:themeColor="text1"/>
          <w:sz w:val="32"/>
          <w:szCs w:val="32"/>
        </w:rPr>
        <w:t>非诚信使用注册商标的侵权行为认定</w:t>
      </w:r>
    </w:p>
    <w:p w:rsidR="0044125B"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Times New Roman" w:cs="Times New Roman"/>
          <w:b/>
          <w:color w:val="000000" w:themeColor="text1"/>
          <w:sz w:val="32"/>
          <w:szCs w:val="32"/>
        </w:rPr>
      </w:pPr>
      <w:r w:rsidRPr="003E7E48">
        <w:rPr>
          <w:rFonts w:ascii="楷体_GB2312" w:eastAsia="楷体_GB2312" w:hAnsi="Times New Roman" w:cs="Times New Roman" w:hint="eastAsia"/>
          <w:b/>
          <w:color w:val="000000" w:themeColor="text1"/>
          <w:sz w:val="32"/>
          <w:szCs w:val="32"/>
        </w:rPr>
        <w:t>1、课程简介</w:t>
      </w:r>
    </w:p>
    <w:p w:rsidR="0044125B" w:rsidRPr="00443420" w:rsidRDefault="0044125B" w:rsidP="0044125B">
      <w:pPr>
        <w:widowControl/>
        <w:spacing w:before="0" w:beforeAutospacing="0" w:after="0" w:afterAutospacing="0" w:line="240" w:lineRule="auto"/>
        <w:ind w:left="0" w:right="0" w:firstLineChars="150" w:firstLine="480"/>
        <w:jc w:val="left"/>
        <w:rPr>
          <w:rFonts w:ascii="仿宋" w:eastAsia="仿宋_GB2312" w:hAnsi="仿宋" w:cs="宋体"/>
          <w:color w:val="000000"/>
          <w:kern w:val="0"/>
          <w:sz w:val="32"/>
          <w:szCs w:val="32"/>
        </w:rPr>
      </w:pPr>
      <w:r w:rsidRPr="00443420">
        <w:rPr>
          <w:rFonts w:ascii="仿宋" w:eastAsia="仿宋_GB2312" w:hAnsi="仿宋" w:cs="宋体"/>
          <w:color w:val="000000"/>
          <w:kern w:val="0"/>
          <w:sz w:val="32"/>
          <w:szCs w:val="32"/>
        </w:rPr>
        <w:t>注册商标的诚信使用与诚信注册关系如何？</w:t>
      </w:r>
      <w:r w:rsidRPr="00443420">
        <w:rPr>
          <w:rFonts w:ascii="仿宋" w:eastAsia="仿宋_GB2312" w:hAnsi="仿宋" w:cs="宋体"/>
          <w:color w:val="000000"/>
          <w:kern w:val="0"/>
          <w:sz w:val="32"/>
          <w:szCs w:val="32"/>
        </w:rPr>
        <w:t>“</w:t>
      </w:r>
      <w:r w:rsidRPr="00443420">
        <w:rPr>
          <w:rFonts w:ascii="仿宋" w:eastAsia="仿宋_GB2312" w:hAnsi="仿宋" w:cs="宋体"/>
          <w:color w:val="000000"/>
          <w:kern w:val="0"/>
          <w:sz w:val="32"/>
          <w:szCs w:val="32"/>
        </w:rPr>
        <w:t>非诚信使用注册商标</w:t>
      </w:r>
      <w:r w:rsidRPr="00443420">
        <w:rPr>
          <w:rFonts w:ascii="仿宋" w:eastAsia="仿宋_GB2312" w:hAnsi="仿宋" w:cs="宋体"/>
          <w:color w:val="000000"/>
          <w:kern w:val="0"/>
          <w:sz w:val="32"/>
          <w:szCs w:val="32"/>
        </w:rPr>
        <w:t>”</w:t>
      </w:r>
      <w:r w:rsidRPr="00443420">
        <w:rPr>
          <w:rFonts w:ascii="仿宋" w:eastAsia="仿宋_GB2312" w:hAnsi="仿宋" w:cs="宋体"/>
          <w:color w:val="000000"/>
          <w:kern w:val="0"/>
          <w:sz w:val="32"/>
          <w:szCs w:val="32"/>
        </w:rPr>
        <w:t>行为的构成要件是什么？该行为将导致何种法律后果？且听演讲者</w:t>
      </w:r>
      <w:proofErr w:type="gramStart"/>
      <w:r w:rsidRPr="00443420">
        <w:rPr>
          <w:rFonts w:ascii="仿宋" w:eastAsia="仿宋_GB2312" w:hAnsi="仿宋" w:cs="宋体"/>
          <w:color w:val="000000"/>
          <w:kern w:val="0"/>
          <w:sz w:val="32"/>
          <w:szCs w:val="32"/>
        </w:rPr>
        <w:t>一</w:t>
      </w:r>
      <w:proofErr w:type="gramEnd"/>
      <w:r w:rsidRPr="00443420">
        <w:rPr>
          <w:rFonts w:ascii="仿宋" w:eastAsia="仿宋_GB2312" w:hAnsi="仿宋" w:cs="宋体"/>
          <w:color w:val="000000"/>
          <w:kern w:val="0"/>
          <w:sz w:val="32"/>
          <w:szCs w:val="32"/>
        </w:rPr>
        <w:t>一道来。</w:t>
      </w:r>
    </w:p>
    <w:p w:rsidR="0044125B" w:rsidRPr="003E7E48" w:rsidRDefault="0044125B" w:rsidP="0044125B">
      <w:pPr>
        <w:autoSpaceDE w:val="0"/>
        <w:autoSpaceDN w:val="0"/>
        <w:adjustRightInd w:val="0"/>
        <w:spacing w:before="0" w:beforeAutospacing="0" w:after="0" w:afterAutospacing="0" w:line="240" w:lineRule="auto"/>
        <w:ind w:left="0" w:right="0" w:firstLineChars="200" w:firstLine="643"/>
        <w:jc w:val="left"/>
        <w:rPr>
          <w:rFonts w:ascii="楷体_GB2312" w:eastAsia="楷体_GB2312" w:hAnsi="仿宋" w:cs="宋体"/>
          <w:b/>
          <w:color w:val="000000"/>
          <w:kern w:val="0"/>
          <w:sz w:val="32"/>
          <w:szCs w:val="32"/>
        </w:rPr>
      </w:pPr>
      <w:r w:rsidRPr="003E7E48">
        <w:rPr>
          <w:rFonts w:ascii="楷体_GB2312" w:eastAsia="楷体_GB2312" w:hAnsi="仿宋" w:cs="宋体" w:hint="eastAsia"/>
          <w:b/>
          <w:color w:val="000000"/>
          <w:kern w:val="0"/>
          <w:sz w:val="32"/>
          <w:szCs w:val="32"/>
        </w:rPr>
        <w:t>2、讲师简介</w:t>
      </w:r>
    </w:p>
    <w:tbl>
      <w:tblPr>
        <w:tblW w:w="0" w:type="auto"/>
        <w:tblInd w:w="108" w:type="dxa"/>
        <w:tblLayout w:type="fixed"/>
        <w:tblLook w:val="0000"/>
      </w:tblPr>
      <w:tblGrid>
        <w:gridCol w:w="2298"/>
        <w:gridCol w:w="3745"/>
      </w:tblGrid>
      <w:tr w:rsidR="0044125B" w:rsidTr="00E85009">
        <w:trPr>
          <w:trHeight w:val="2723"/>
        </w:trPr>
        <w:tc>
          <w:tcPr>
            <w:tcW w:w="2298" w:type="dxa"/>
          </w:tcPr>
          <w:p w:rsidR="0044125B" w:rsidRDefault="0044125B" w:rsidP="00E85009">
            <w:pPr>
              <w:ind w:leftChars="-51" w:left="0" w:hangingChars="51" w:hanging="107"/>
              <w:rPr>
                <w:rFonts w:eastAsia="等线"/>
              </w:rPr>
            </w:pPr>
            <w:r>
              <w:rPr>
                <w:rFonts w:eastAsia="等线" w:hint="eastAsia"/>
                <w:noProof/>
              </w:rPr>
              <w:drawing>
                <wp:inline distT="0" distB="0" distL="0" distR="0">
                  <wp:extent cx="1035309" cy="1552964"/>
                  <wp:effectExtent l="19050" t="0" r="0" b="0"/>
                  <wp:docPr id="8" name="图片 7" descr="张学军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学军照片.jpg"/>
                          <pic:cNvPicPr/>
                        </pic:nvPicPr>
                        <pic:blipFill>
                          <a:blip r:embed="rId9" cstate="print"/>
                          <a:stretch>
                            <a:fillRect/>
                          </a:stretch>
                        </pic:blipFill>
                        <pic:spPr>
                          <a:xfrm>
                            <a:off x="0" y="0"/>
                            <a:ext cx="1038434" cy="1557652"/>
                          </a:xfrm>
                          <a:prstGeom prst="rect">
                            <a:avLst/>
                          </a:prstGeom>
                        </pic:spPr>
                      </pic:pic>
                    </a:graphicData>
                  </a:graphic>
                </wp:inline>
              </w:drawing>
            </w:r>
          </w:p>
        </w:tc>
        <w:tc>
          <w:tcPr>
            <w:tcW w:w="3745" w:type="dxa"/>
          </w:tcPr>
          <w:p w:rsidR="0044125B" w:rsidRPr="00A413CF" w:rsidRDefault="0044125B" w:rsidP="00E85009">
            <w:pPr>
              <w:rPr>
                <w:rFonts w:ascii="宋体" w:eastAsia="宋体" w:hAnsi="宋体"/>
                <w:b/>
                <w:sz w:val="32"/>
                <w:szCs w:val="32"/>
              </w:rPr>
            </w:pPr>
            <w:r w:rsidRPr="00A413CF">
              <w:rPr>
                <w:rFonts w:ascii="宋体" w:eastAsia="宋体" w:hAnsi="宋体"/>
                <w:b/>
                <w:sz w:val="32"/>
                <w:szCs w:val="32"/>
              </w:rPr>
              <w:t>张学军</w:t>
            </w:r>
          </w:p>
          <w:p w:rsidR="0044125B" w:rsidRDefault="0044125B" w:rsidP="00E85009">
            <w:pPr>
              <w:rPr>
                <w:rFonts w:ascii="Times New Roman" w:eastAsia="楷体_GB2312" w:hAnsi="Times New Roman"/>
              </w:rPr>
            </w:pPr>
            <w:r w:rsidRPr="00A413CF">
              <w:rPr>
                <w:rFonts w:ascii="宋体" w:hAnsi="宋体"/>
                <w:sz w:val="24"/>
                <w:szCs w:val="30"/>
              </w:rPr>
              <w:t>广东省高级人民法院知识产权庭副庭长</w:t>
            </w:r>
            <w:r>
              <w:rPr>
                <w:rFonts w:ascii="宋体" w:hAnsi="宋体" w:hint="eastAsia"/>
                <w:sz w:val="24"/>
                <w:szCs w:val="30"/>
              </w:rPr>
              <w:t>、</w:t>
            </w:r>
            <w:r w:rsidRPr="00A413CF">
              <w:rPr>
                <w:rFonts w:ascii="宋体" w:hAnsi="宋体"/>
                <w:sz w:val="24"/>
                <w:szCs w:val="30"/>
              </w:rPr>
              <w:t>著名知识产权法官</w:t>
            </w:r>
          </w:p>
        </w:tc>
      </w:tr>
    </w:tbl>
    <w:p w:rsidR="0044125B" w:rsidRPr="00DE7F37" w:rsidRDefault="0044125B" w:rsidP="0044125B">
      <w:pPr>
        <w:spacing w:line="420" w:lineRule="auto"/>
        <w:ind w:firstLineChars="250" w:firstLine="800"/>
        <w:contextualSpacing/>
        <w:rPr>
          <w:rFonts w:ascii="仿宋" w:eastAsia="仿宋_GB2312" w:hAnsi="仿宋" w:cs="宋体"/>
          <w:color w:val="000000"/>
          <w:kern w:val="0"/>
          <w:sz w:val="32"/>
          <w:szCs w:val="32"/>
        </w:rPr>
      </w:pPr>
      <w:r w:rsidRPr="00DE7F37">
        <w:rPr>
          <w:rFonts w:ascii="仿宋" w:eastAsia="仿宋_GB2312" w:hAnsi="仿宋" w:cs="宋体" w:hint="eastAsia"/>
          <w:color w:val="000000"/>
          <w:kern w:val="0"/>
          <w:sz w:val="32"/>
          <w:szCs w:val="32"/>
        </w:rPr>
        <w:t>从事知识产权审判和商事审判</w:t>
      </w:r>
      <w:r w:rsidRPr="00DE7F37">
        <w:rPr>
          <w:rFonts w:ascii="仿宋" w:eastAsia="仿宋_GB2312" w:hAnsi="仿宋" w:cs="宋体"/>
          <w:color w:val="000000"/>
          <w:kern w:val="0"/>
          <w:sz w:val="32"/>
          <w:szCs w:val="32"/>
        </w:rPr>
        <w:t>17</w:t>
      </w:r>
      <w:r w:rsidRPr="00DE7F37">
        <w:rPr>
          <w:rFonts w:ascii="仿宋" w:eastAsia="仿宋_GB2312" w:hAnsi="仿宋" w:cs="宋体" w:hint="eastAsia"/>
          <w:color w:val="000000"/>
          <w:kern w:val="0"/>
          <w:sz w:val="32"/>
          <w:szCs w:val="32"/>
        </w:rPr>
        <w:t>年，审理过一系列重大疑难案件，主审的</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道道通电子导航地图著作权案</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腾讯诉奇虎</w:t>
      </w:r>
      <w:r w:rsidRPr="00DE7F37">
        <w:rPr>
          <w:rFonts w:ascii="仿宋" w:eastAsia="仿宋_GB2312" w:hAnsi="仿宋" w:cs="宋体"/>
          <w:color w:val="000000"/>
          <w:kern w:val="0"/>
          <w:sz w:val="32"/>
          <w:szCs w:val="32"/>
        </w:rPr>
        <w:t>‘360</w:t>
      </w:r>
      <w:r w:rsidRPr="00DE7F37">
        <w:rPr>
          <w:rFonts w:ascii="仿宋" w:eastAsia="仿宋_GB2312" w:hAnsi="仿宋" w:cs="宋体" w:hint="eastAsia"/>
          <w:color w:val="000000"/>
          <w:kern w:val="0"/>
          <w:sz w:val="32"/>
          <w:szCs w:val="32"/>
        </w:rPr>
        <w:t>扣扣保镖</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不正当竞争案</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和中国互联网领域反垄断第一案</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奇虎公司诉腾讯公司滥用市场支配地位纠纷案</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等案件入选为中国法院知识产权司法保护</w:t>
      </w:r>
      <w:r w:rsidRPr="00DE7F37">
        <w:rPr>
          <w:rFonts w:ascii="仿宋" w:eastAsia="仿宋_GB2312" w:hAnsi="仿宋" w:cs="宋体"/>
          <w:color w:val="000000"/>
          <w:kern w:val="0"/>
          <w:sz w:val="32"/>
          <w:szCs w:val="32"/>
        </w:rPr>
        <w:t>10</w:t>
      </w:r>
      <w:r w:rsidRPr="00DE7F37">
        <w:rPr>
          <w:rFonts w:ascii="仿宋" w:eastAsia="仿宋_GB2312" w:hAnsi="仿宋" w:cs="宋体" w:hint="eastAsia"/>
          <w:color w:val="000000"/>
          <w:kern w:val="0"/>
          <w:sz w:val="32"/>
          <w:szCs w:val="32"/>
        </w:rPr>
        <w:t>大案件，多个案件入选为中国法院知识产权司法保护</w:t>
      </w:r>
      <w:r w:rsidRPr="00DE7F37">
        <w:rPr>
          <w:rFonts w:ascii="仿宋" w:eastAsia="仿宋_GB2312" w:hAnsi="仿宋" w:cs="宋体"/>
          <w:color w:val="000000"/>
          <w:kern w:val="0"/>
          <w:sz w:val="32"/>
          <w:szCs w:val="32"/>
        </w:rPr>
        <w:t>50</w:t>
      </w:r>
      <w:r w:rsidRPr="00DE7F37">
        <w:rPr>
          <w:rFonts w:ascii="仿宋" w:eastAsia="仿宋_GB2312" w:hAnsi="仿宋" w:cs="宋体" w:hint="eastAsia"/>
          <w:color w:val="000000"/>
          <w:kern w:val="0"/>
          <w:sz w:val="32"/>
          <w:szCs w:val="32"/>
        </w:rPr>
        <w:t>个典型案例和广东法院知识产权司法保护十大案件。长期负责参与和指导广东省高级人民法院部分知识产权审判课题调研活动，曾作为执笔人深度参与《探索完善司法证据制度</w:t>
      </w:r>
      <w:r w:rsidRPr="00DE7F37">
        <w:rPr>
          <w:rFonts w:ascii="仿宋" w:eastAsia="仿宋_GB2312" w:hAnsi="仿宋" w:cs="宋体"/>
          <w:color w:val="000000"/>
          <w:kern w:val="0"/>
          <w:sz w:val="32"/>
          <w:szCs w:val="32"/>
        </w:rPr>
        <w:t xml:space="preserve"> </w:t>
      </w:r>
      <w:r w:rsidRPr="00DE7F37">
        <w:rPr>
          <w:rFonts w:ascii="仿宋" w:eastAsia="仿宋_GB2312" w:hAnsi="仿宋" w:cs="宋体" w:hint="eastAsia"/>
          <w:color w:val="000000"/>
          <w:kern w:val="0"/>
          <w:sz w:val="32"/>
          <w:szCs w:val="32"/>
        </w:rPr>
        <w:t>破解知识产权侵权赔偿难</w:t>
      </w:r>
      <w:r w:rsidRPr="00DE7F37">
        <w:rPr>
          <w:rFonts w:ascii="仿宋" w:eastAsia="仿宋_GB2312" w:hAnsi="仿宋" w:cs="宋体"/>
          <w:color w:val="000000"/>
          <w:kern w:val="0"/>
          <w:sz w:val="32"/>
          <w:szCs w:val="32"/>
        </w:rPr>
        <w:t>”</w:t>
      </w:r>
      <w:r w:rsidRPr="00DE7F37">
        <w:rPr>
          <w:rFonts w:ascii="仿宋" w:eastAsia="仿宋_GB2312" w:hAnsi="仿宋" w:cs="宋体" w:hint="eastAsia"/>
          <w:color w:val="000000"/>
          <w:kern w:val="0"/>
          <w:sz w:val="32"/>
          <w:szCs w:val="32"/>
        </w:rPr>
        <w:t>试点工作座谈会纪要》。开设</w:t>
      </w:r>
      <w:r>
        <w:rPr>
          <w:rFonts w:ascii="仿宋" w:eastAsia="仿宋_GB2312" w:hAnsi="仿宋" w:cs="宋体" w:hint="eastAsia"/>
          <w:color w:val="000000"/>
          <w:kern w:val="0"/>
          <w:sz w:val="32"/>
          <w:szCs w:val="32"/>
        </w:rPr>
        <w:t>的</w:t>
      </w:r>
      <w:r w:rsidRPr="00DE7F37">
        <w:rPr>
          <w:rFonts w:ascii="仿宋" w:eastAsia="仿宋_GB2312" w:hAnsi="仿宋" w:cs="宋体"/>
          <w:color w:val="000000"/>
          <w:kern w:val="0"/>
          <w:sz w:val="32"/>
          <w:szCs w:val="32"/>
        </w:rPr>
        <w:t xml:space="preserve"> “</w:t>
      </w:r>
      <w:r w:rsidRPr="00DE7F37">
        <w:rPr>
          <w:rFonts w:ascii="仿宋" w:eastAsia="仿宋_GB2312" w:hAnsi="仿宋" w:cs="宋体" w:hint="eastAsia"/>
          <w:color w:val="000000"/>
          <w:kern w:val="0"/>
          <w:sz w:val="32"/>
          <w:szCs w:val="32"/>
        </w:rPr>
        <w:t>学军每日一案</w:t>
      </w:r>
      <w:r w:rsidRPr="00DE7F37">
        <w:rPr>
          <w:rFonts w:ascii="仿宋" w:eastAsia="仿宋_GB2312" w:hAnsi="仿宋" w:cs="宋体"/>
          <w:color w:val="000000"/>
          <w:kern w:val="0"/>
          <w:sz w:val="32"/>
          <w:szCs w:val="32"/>
        </w:rPr>
        <w:t>”</w:t>
      </w:r>
      <w:proofErr w:type="gramStart"/>
      <w:r>
        <w:rPr>
          <w:rFonts w:ascii="仿宋" w:eastAsia="仿宋_GB2312" w:hAnsi="仿宋" w:cs="宋体" w:hint="eastAsia"/>
          <w:color w:val="000000"/>
          <w:kern w:val="0"/>
          <w:sz w:val="32"/>
          <w:szCs w:val="32"/>
        </w:rPr>
        <w:t>微信公众</w:t>
      </w:r>
      <w:proofErr w:type="gramEnd"/>
      <w:r w:rsidRPr="00DE7F37">
        <w:rPr>
          <w:rFonts w:ascii="仿宋" w:eastAsia="仿宋_GB2312" w:hAnsi="仿宋" w:cs="宋体" w:hint="eastAsia"/>
          <w:color w:val="000000"/>
          <w:kern w:val="0"/>
          <w:sz w:val="32"/>
          <w:szCs w:val="32"/>
        </w:rPr>
        <w:t>获得广</w:t>
      </w:r>
      <w:r w:rsidRPr="00DE7F37">
        <w:rPr>
          <w:rFonts w:ascii="仿宋" w:eastAsia="仿宋_GB2312" w:hAnsi="仿宋" w:cs="宋体" w:hint="eastAsia"/>
          <w:color w:val="000000"/>
          <w:kern w:val="0"/>
          <w:sz w:val="32"/>
          <w:szCs w:val="32"/>
        </w:rPr>
        <w:lastRenderedPageBreak/>
        <w:t>泛关注与好评。</w:t>
      </w:r>
    </w:p>
    <w:sectPr w:rsidR="0044125B" w:rsidRPr="00DE7F37" w:rsidSect="00DE2817">
      <w:footerReference w:type="default" r:id="rId10"/>
      <w:pgSz w:w="11906" w:h="16838"/>
      <w:pgMar w:top="1440"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8094"/>
      <w:docPartObj>
        <w:docPartGallery w:val="Page Numbers (Bottom of Page)"/>
        <w:docPartUnique/>
      </w:docPartObj>
    </w:sdtPr>
    <w:sdtEndPr/>
    <w:sdtContent>
      <w:p w:rsidR="00DE2817" w:rsidRDefault="0044125B">
        <w:pPr>
          <w:pStyle w:val="a3"/>
          <w:jc w:val="center"/>
        </w:pPr>
        <w:r>
          <w:fldChar w:fldCharType="begin"/>
        </w:r>
        <w:r>
          <w:instrText xml:space="preserve"> PAGE   \* MERGEFORMAT </w:instrText>
        </w:r>
        <w:r>
          <w:fldChar w:fldCharType="separate"/>
        </w:r>
        <w:r w:rsidRPr="0044125B">
          <w:rPr>
            <w:noProof/>
            <w:lang w:val="zh-CN"/>
          </w:rPr>
          <w:t>1</w:t>
        </w:r>
        <w:r>
          <w:fldChar w:fldCharType="end"/>
        </w:r>
      </w:p>
    </w:sdtContent>
  </w:sdt>
  <w:p w:rsidR="00DE2817" w:rsidRDefault="0044125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25B"/>
    <w:rsid w:val="0044125B"/>
    <w:rsid w:val="00B75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5B"/>
    <w:pPr>
      <w:widowControl w:val="0"/>
      <w:spacing w:before="100" w:beforeAutospacing="1" w:after="100" w:afterAutospacing="1" w:line="360" w:lineRule="auto"/>
      <w:ind w:left="227" w:right="22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4125B"/>
    <w:pPr>
      <w:tabs>
        <w:tab w:val="center" w:pos="4153"/>
        <w:tab w:val="right" w:pos="8306"/>
      </w:tabs>
      <w:snapToGrid w:val="0"/>
      <w:spacing w:line="240" w:lineRule="auto"/>
      <w:jc w:val="left"/>
    </w:pPr>
    <w:rPr>
      <w:sz w:val="18"/>
      <w:szCs w:val="18"/>
    </w:rPr>
  </w:style>
  <w:style w:type="character" w:customStyle="1" w:styleId="Char">
    <w:name w:val="页脚 Char"/>
    <w:basedOn w:val="a0"/>
    <w:link w:val="a3"/>
    <w:uiPriority w:val="99"/>
    <w:rsid w:val="0044125B"/>
    <w:rPr>
      <w:sz w:val="18"/>
      <w:szCs w:val="18"/>
    </w:rPr>
  </w:style>
  <w:style w:type="paragraph" w:styleId="a4">
    <w:name w:val="Balloon Text"/>
    <w:basedOn w:val="a"/>
    <w:link w:val="Char0"/>
    <w:uiPriority w:val="99"/>
    <w:semiHidden/>
    <w:unhideWhenUsed/>
    <w:rsid w:val="0044125B"/>
    <w:pPr>
      <w:spacing w:before="0" w:after="0" w:line="240" w:lineRule="auto"/>
    </w:pPr>
    <w:rPr>
      <w:sz w:val="18"/>
      <w:szCs w:val="18"/>
    </w:rPr>
  </w:style>
  <w:style w:type="character" w:customStyle="1" w:styleId="Char0">
    <w:name w:val="批注框文本 Char"/>
    <w:basedOn w:val="a0"/>
    <w:link w:val="a4"/>
    <w:uiPriority w:val="99"/>
    <w:semiHidden/>
    <w:rsid w:val="004412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司跃敏</dc:creator>
  <cp:lastModifiedBy>司跃敏</cp:lastModifiedBy>
  <cp:revision>1</cp:revision>
  <dcterms:created xsi:type="dcterms:W3CDTF">2019-04-09T09:04:00Z</dcterms:created>
  <dcterms:modified xsi:type="dcterms:W3CDTF">2019-04-09T09:06:00Z</dcterms:modified>
</cp:coreProperties>
</file>