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附件1.</w:t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广东商标代理年会暨规范商标代理提升服务质量论坛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线下参会回执</w:t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6"/>
        <w:tblW w:w="9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823"/>
        <w:gridCol w:w="1823"/>
        <w:gridCol w:w="1823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293" w:type="dxa"/>
            <w:gridSpan w:val="4"/>
            <w:vAlign w:val="top"/>
          </w:tcPr>
          <w:p>
            <w:pPr>
              <w:jc w:val="both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手机</w:t>
            </w: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是否用午餐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3" w:type="dxa"/>
            <w:vAlign w:val="top"/>
          </w:tcPr>
          <w:p>
            <w:pPr>
              <w:jc w:val="both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jc w:val="both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jc w:val="both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jc w:val="both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top"/>
          </w:tcPr>
          <w:p>
            <w:pPr>
              <w:jc w:val="both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请于20201年4月20日前将参会回执（word版及盖章PDF版）发送至邮箱hyb@gdta.com.cn,名额有限，各单位限一人参加，额满截止。</w:t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21ECD"/>
    <w:rsid w:val="3D021E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2021-04-01T07:15:00Z</dcterms:created>
  <dc:creator>测试用户</dc:creator>
  <cp:lastModifiedBy>测试用户</cp:lastModifiedBy>
  <dcterms:modified xsi:type="dcterms:W3CDTF">2021-04-01T07:16:59Z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