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民事案件案由规定（</w:t>
      </w:r>
      <w:r>
        <w:rPr>
          <w:rFonts w:hint="eastAsia"/>
          <w:lang w:val="en-US" w:eastAsia="zh-CN"/>
        </w:rPr>
        <w:t>商标部分</w:t>
      </w:r>
      <w:bookmarkStart w:id="0" w:name="_GoBack"/>
      <w:bookmarkEnd w:id="0"/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（颁布机关：最高人民法院；实施日期：2011年4月1日）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第五部分 知识产权与竞争纠纷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十三、知识产权合同纠纷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131、商标合同纠纷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（1）商标权转让合同纠纷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（2）商标使用许可合同纠纷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（3）商标代理合同纠纷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137、特许经营合同纠纷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138、企业名称（商号）合同纠纷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（1）企业名称（商号）转让合同纠纷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（2）企业名称（商号）使用合同纠纷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139、特殊标志合同纠纷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140、网络域名合同纠纷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（1）网络域名注册合同纠纷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（2）网络域名转让合同纠纷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（3）网络域名许可使用合同纠纷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141、知识产权质押合同纠纷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十四、知识产权权属、侵权纠纷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143、商标权权属、侵权纠纷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（1）商标权权属纠纷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（2）侵害商标权纠纷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147、侵害企业名称（商号）权纠纷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148、侵害特殊标志专有权纠纷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149、网络域名权属、侵权纠纷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（1）网络域名权属纠纷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（2）侵害网络域名纠纷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153、确认不侵害知识产权纠纷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（1）确认不侵害专利权纠纷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（2）确认不侵害商标权纠纷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（3）确认不侵害著作权纠纷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154、因申请知识产权临时措施损害责任纠纷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（1）因申请诉前停止侵害专利权损害责任纠纷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（2）因申请诉前停止侵害注册商标专用权损害责任纠纷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（3）因申请诉前停止侵害著作权损害责任纠纷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（4）因申请诉前停止侵害植物新品种权损害责任纠纷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（5）因申请海关知识产权保护措施损害责任纠纷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155、因恶意提起知识产权诉讼损害责任纠纷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......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十五、不正当竞争纠纷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157、仿冒纠纷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（1）擅自使用知名商品特有名称、包装、装潢纠纷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（2）擅自使用他人企业名称、姓名纠纷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（3）伪造、冒用产品质量标志纠纷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（4）伪造产地纠纷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158、商业贿赂不正当竞争纠纷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159、虚假宣传纠纷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160、侵害商业秘密纠纷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（1）侵害技术秘密纠纷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（2）侵害经营秘密纠纷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161、低价倾销不正当竞争纠纷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162、捆绑销售不正当竞争纠纷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163、有奖销售纠纷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164、商业诋毁纠纷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165、串通投标不正当竞争纠纷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6145"/>
    <w:rsid w:val="0DFC34BE"/>
    <w:rsid w:val="796F6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2022-02-21T02:09:00Z</dcterms:created>
  <dc:creator>JD张</dc:creator>
  <cp:lastModifiedBy>JD张</cp:lastModifiedBy>
  <dcterms:modified xsi:type="dcterms:W3CDTF">2022-02-22T01:44:52Z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7742305CF0364E0398AF030747C2E56A</vt:lpwstr>
  </property>
</Properties>
</file>