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仿宋" w:hAnsi="仿宋" w:eastAsia="仿宋" w:cs="方正小标宋简体"/>
          <w:b/>
          <w:sz w:val="36"/>
          <w:szCs w:val="36"/>
        </w:rPr>
      </w:pPr>
      <w:bookmarkStart w:id="0" w:name="_GoBack"/>
      <w:r>
        <w:rPr>
          <w:rFonts w:hint="eastAsia" w:ascii="仿宋" w:hAnsi="仿宋" w:eastAsia="仿宋" w:cs="方正小标宋简体"/>
          <w:b/>
          <w:sz w:val="36"/>
          <w:szCs w:val="36"/>
        </w:rPr>
        <w:t>广东商标协会商标维权援助工作委员会调解员</w:t>
      </w:r>
    </w:p>
    <w:p>
      <w:pPr>
        <w:jc w:val="center"/>
        <w:rPr>
          <w:rFonts w:ascii="仿宋" w:hAnsi="仿宋" w:eastAsia="仿宋" w:cs="方正小标宋简体"/>
          <w:b/>
          <w:sz w:val="36"/>
          <w:szCs w:val="36"/>
        </w:rPr>
      </w:pPr>
      <w:r>
        <w:rPr>
          <w:rFonts w:hint="eastAsia" w:ascii="仿宋" w:hAnsi="仿宋" w:eastAsia="仿宋" w:cs="方正小标宋简体"/>
          <w:b/>
          <w:sz w:val="36"/>
          <w:szCs w:val="36"/>
        </w:rPr>
        <w:t>选聘条件、权利义务及程序</w:t>
      </w:r>
    </w:p>
    <w:bookmarkEnd w:id="0"/>
    <w:p>
      <w:pPr>
        <w:keepNext/>
        <w:keepLines/>
        <w:widowControl/>
        <w:numPr>
          <w:ilvl w:val="2"/>
          <w:numId w:val="0"/>
        </w:numPr>
        <w:spacing w:line="360" w:lineRule="auto"/>
        <w:ind w:left="420" w:leftChars="200"/>
        <w:outlineLvl w:val="2"/>
        <w:rPr>
          <w:rFonts w:ascii="宋体" w:hAnsi="宋体"/>
          <w:b/>
          <w:bCs/>
          <w:sz w:val="30"/>
          <w:szCs w:val="30"/>
        </w:rPr>
      </w:pPr>
    </w:p>
    <w:p>
      <w:pPr>
        <w:numPr>
          <w:ilvl w:val="0"/>
          <w:numId w:val="1"/>
        </w:numPr>
        <w:spacing w:line="360" w:lineRule="auto"/>
        <w:ind w:firstLine="643" w:firstLineChars="200"/>
        <w:jc w:val="left"/>
        <w:rPr>
          <w:rFonts w:ascii="仿宋" w:hAnsi="仿宋" w:eastAsia="仿宋" w:cs="仿宋"/>
          <w:b/>
          <w:sz w:val="32"/>
          <w:szCs w:val="32"/>
        </w:rPr>
      </w:pPr>
      <w:r>
        <w:rPr>
          <w:rFonts w:hint="eastAsia" w:ascii="仿宋" w:hAnsi="仿宋" w:eastAsia="仿宋" w:cs="仿宋"/>
          <w:b/>
          <w:sz w:val="32"/>
          <w:szCs w:val="32"/>
        </w:rPr>
        <w:t>选聘的调解员应符合以下条件</w:t>
      </w:r>
    </w:p>
    <w:p>
      <w:pPr>
        <w:numPr>
          <w:ilvl w:val="0"/>
          <w:numId w:val="2"/>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中华人民共和国公民，具有完全民事行为能力，遵守宪法和法律，无犯罪记录，未受过知识产权行业行政处罚；</w:t>
      </w:r>
    </w:p>
    <w:p>
      <w:pPr>
        <w:numPr>
          <w:ilvl w:val="0"/>
          <w:numId w:val="2"/>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有良好的社会责任感，具有奉献精神，身心健康，有较强的共情能力和谈判能力，以及良好的文字写作和语言表达能力。</w:t>
      </w:r>
    </w:p>
    <w:p>
      <w:pPr>
        <w:numPr>
          <w:ilvl w:val="0"/>
          <w:numId w:val="2"/>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能够积极参与相关调解工作，同时能够保证参加调解工作的时间；</w:t>
      </w:r>
    </w:p>
    <w:p>
      <w:pPr>
        <w:tabs>
          <w:tab w:val="left" w:pos="420"/>
        </w:tabs>
        <w:adjustRightInd w:val="0"/>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（四）具有一定的调解工作经验，能够独立、科学、公正、客观、诚实地履行职责；</w:t>
      </w:r>
    </w:p>
    <w:p>
      <w:pPr>
        <w:tabs>
          <w:tab w:val="left" w:pos="420"/>
        </w:tabs>
        <w:adjustRightInd w:val="0"/>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（五）熟悉知识产权专业知识和法律的有关规定，熟悉相关行业整体情况；</w:t>
      </w:r>
    </w:p>
    <w:p>
      <w:pPr>
        <w:tabs>
          <w:tab w:val="left" w:pos="420"/>
        </w:tabs>
        <w:adjustRightInd w:val="0"/>
        <w:snapToGrid w:val="0"/>
        <w:spacing w:line="360" w:lineRule="auto"/>
        <w:ind w:firstLine="640" w:firstLineChars="200"/>
      </w:pPr>
      <w:r>
        <w:rPr>
          <w:rFonts w:hint="eastAsia" w:ascii="仿宋_GB2312" w:hAnsi="仿宋_GB2312" w:eastAsia="仿宋_GB2312" w:cs="仿宋_GB2312"/>
          <w:color w:val="000000"/>
          <w:sz w:val="32"/>
          <w:szCs w:val="32"/>
        </w:rPr>
        <w:t>（六）从事律师业务、行政管理实务或者法学研究工作五年(含) 以上经历。</w:t>
      </w:r>
    </w:p>
    <w:p>
      <w:pPr>
        <w:numPr>
          <w:ilvl w:val="0"/>
          <w:numId w:val="1"/>
        </w:numPr>
        <w:spacing w:line="360" w:lineRule="auto"/>
        <w:ind w:firstLine="643" w:firstLineChars="200"/>
        <w:jc w:val="left"/>
        <w:rPr>
          <w:rFonts w:ascii="仿宋" w:hAnsi="仿宋" w:eastAsia="仿宋" w:cs="仿宋"/>
          <w:b/>
          <w:sz w:val="32"/>
          <w:szCs w:val="32"/>
        </w:rPr>
      </w:pPr>
      <w:r>
        <w:rPr>
          <w:rFonts w:hint="eastAsia" w:ascii="仿宋" w:hAnsi="仿宋" w:eastAsia="仿宋" w:cs="仿宋"/>
          <w:b/>
          <w:sz w:val="32"/>
          <w:szCs w:val="32"/>
        </w:rPr>
        <w:t>调解员享有的权利</w:t>
      </w:r>
    </w:p>
    <w:p>
      <w:pPr>
        <w:tabs>
          <w:tab w:val="left" w:pos="420"/>
        </w:tabs>
        <w:adjustRightInd w:val="0"/>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（一）享有依法参与案件调解的保障权；</w:t>
      </w:r>
    </w:p>
    <w:p>
      <w:pPr>
        <w:tabs>
          <w:tab w:val="left" w:pos="420"/>
        </w:tabs>
        <w:adjustRightInd w:val="0"/>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（二）参加</w:t>
      </w:r>
      <w:r>
        <w:rPr>
          <w:rFonts w:hint="eastAsia" w:ascii="仿宋_GB2312" w:hAnsi="仿宋_GB2312" w:eastAsia="仿宋_GB2312" w:cs="仿宋_GB2312"/>
          <w:sz w:val="32"/>
          <w:szCs w:val="32"/>
        </w:rPr>
        <w:t>商标维权援助工作委员会</w:t>
      </w:r>
      <w:r>
        <w:rPr>
          <w:rFonts w:hint="eastAsia" w:ascii="仿宋_GB2312" w:hAnsi="仿宋_GB2312" w:eastAsia="仿宋_GB2312" w:cs="仿宋_GB2312"/>
          <w:color w:val="000000"/>
          <w:sz w:val="32"/>
          <w:szCs w:val="32"/>
        </w:rPr>
        <w:t>组织的学习和培训；</w:t>
      </w:r>
    </w:p>
    <w:p>
      <w:pPr>
        <w:tabs>
          <w:tab w:val="left" w:pos="420"/>
        </w:tabs>
        <w:adjustRightInd w:val="0"/>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（三）参加</w:t>
      </w:r>
      <w:r>
        <w:rPr>
          <w:rFonts w:hint="eastAsia" w:ascii="仿宋_GB2312" w:hAnsi="仿宋_GB2312" w:eastAsia="仿宋_GB2312" w:cs="仿宋_GB2312"/>
          <w:sz w:val="32"/>
          <w:szCs w:val="32"/>
        </w:rPr>
        <w:t>商标维权援助工作委员会</w:t>
      </w:r>
      <w:r>
        <w:rPr>
          <w:rFonts w:hint="eastAsia" w:ascii="仿宋_GB2312" w:hAnsi="仿宋_GB2312" w:eastAsia="仿宋_GB2312" w:cs="仿宋_GB2312"/>
          <w:color w:val="000000"/>
          <w:sz w:val="32"/>
          <w:szCs w:val="32"/>
        </w:rPr>
        <w:t>组织的专业研究和经验交流活动；</w:t>
      </w:r>
    </w:p>
    <w:p>
      <w:pPr>
        <w:tabs>
          <w:tab w:val="left" w:pos="420"/>
        </w:tabs>
        <w:adjustRightInd w:val="0"/>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（四）对</w:t>
      </w:r>
      <w:r>
        <w:rPr>
          <w:rFonts w:hint="eastAsia" w:ascii="仿宋_GB2312" w:hAnsi="仿宋_GB2312" w:eastAsia="仿宋_GB2312" w:cs="仿宋_GB2312"/>
          <w:sz w:val="32"/>
          <w:szCs w:val="32"/>
        </w:rPr>
        <w:t>商标维权援助工作委员会</w:t>
      </w:r>
      <w:r>
        <w:rPr>
          <w:rFonts w:hint="eastAsia" w:ascii="仿宋_GB2312" w:hAnsi="仿宋_GB2312" w:eastAsia="仿宋_GB2312" w:cs="仿宋_GB2312"/>
          <w:color w:val="000000"/>
          <w:sz w:val="32"/>
          <w:szCs w:val="32"/>
        </w:rPr>
        <w:t>的工作进行监督，提出批评和建议。</w:t>
      </w:r>
    </w:p>
    <w:p>
      <w:pPr>
        <w:numPr>
          <w:ilvl w:val="0"/>
          <w:numId w:val="1"/>
        </w:numPr>
        <w:spacing w:line="360" w:lineRule="auto"/>
        <w:ind w:firstLine="643" w:firstLineChars="200"/>
        <w:jc w:val="left"/>
        <w:rPr>
          <w:rFonts w:ascii="仿宋" w:hAnsi="仿宋" w:eastAsia="仿宋" w:cs="仿宋"/>
          <w:b/>
          <w:sz w:val="32"/>
          <w:szCs w:val="32"/>
        </w:rPr>
      </w:pPr>
      <w:r>
        <w:rPr>
          <w:rFonts w:hint="eastAsia" w:ascii="仿宋" w:hAnsi="仿宋" w:eastAsia="仿宋" w:cs="仿宋"/>
          <w:b/>
          <w:sz w:val="32"/>
          <w:szCs w:val="32"/>
        </w:rPr>
        <w:t>调解员应当承担的义务</w:t>
      </w:r>
    </w:p>
    <w:p>
      <w:pPr>
        <w:tabs>
          <w:tab w:val="left" w:pos="420"/>
        </w:tabs>
        <w:adjustRightInd w:val="0"/>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（一）遵守调解相关法律法规的规定；</w:t>
      </w:r>
    </w:p>
    <w:p>
      <w:pPr>
        <w:tabs>
          <w:tab w:val="left" w:pos="420"/>
        </w:tabs>
        <w:adjustRightInd w:val="0"/>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（二）遵守《</w:t>
      </w:r>
      <w:r>
        <w:rPr>
          <w:rFonts w:hint="eastAsia" w:ascii="仿宋_GB2312" w:hAnsi="仿宋_GB2312" w:eastAsia="仿宋_GB2312" w:cs="仿宋_GB2312"/>
          <w:sz w:val="32"/>
          <w:szCs w:val="32"/>
        </w:rPr>
        <w:t>广东商标协会商标维权援助工作委员会调解规则》的相关规定</w:t>
      </w:r>
      <w:r>
        <w:rPr>
          <w:rFonts w:hint="eastAsia" w:ascii="仿宋_GB2312" w:hAnsi="仿宋_GB2312" w:eastAsia="仿宋_GB2312" w:cs="仿宋_GB2312"/>
          <w:color w:val="000000"/>
          <w:sz w:val="32"/>
          <w:szCs w:val="32"/>
        </w:rPr>
        <w:t>；</w:t>
      </w:r>
    </w:p>
    <w:p>
      <w:pPr>
        <w:tabs>
          <w:tab w:val="left" w:pos="420"/>
        </w:tabs>
        <w:adjustRightInd w:val="0"/>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（三）接受</w:t>
      </w:r>
      <w:r>
        <w:rPr>
          <w:rFonts w:hint="eastAsia" w:ascii="仿宋_GB2312" w:hAnsi="仿宋_GB2312" w:eastAsia="仿宋_GB2312" w:cs="仿宋_GB2312"/>
          <w:sz w:val="32"/>
          <w:szCs w:val="32"/>
        </w:rPr>
        <w:t>商标维权援助工作委员会</w:t>
      </w:r>
      <w:r>
        <w:rPr>
          <w:rFonts w:hint="eastAsia" w:ascii="仿宋_GB2312" w:hAnsi="仿宋_GB2312" w:eastAsia="仿宋_GB2312" w:cs="仿宋_GB2312"/>
          <w:color w:val="000000"/>
          <w:sz w:val="32"/>
          <w:szCs w:val="32"/>
        </w:rPr>
        <w:t>的指导、监督和管理；</w:t>
      </w:r>
    </w:p>
    <w:p>
      <w:pPr>
        <w:tabs>
          <w:tab w:val="left" w:pos="420"/>
        </w:tabs>
        <w:adjustRightInd w:val="0"/>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（四）承担</w:t>
      </w:r>
      <w:r>
        <w:rPr>
          <w:rFonts w:hint="eastAsia" w:ascii="仿宋_GB2312" w:hAnsi="仿宋_GB2312" w:eastAsia="仿宋_GB2312" w:cs="仿宋_GB2312"/>
          <w:sz w:val="32"/>
          <w:szCs w:val="32"/>
        </w:rPr>
        <w:t>商标维权援助工作委员会</w:t>
      </w:r>
      <w:r>
        <w:rPr>
          <w:rFonts w:hint="eastAsia" w:ascii="仿宋_GB2312" w:hAnsi="仿宋_GB2312" w:eastAsia="仿宋_GB2312" w:cs="仿宋_GB2312"/>
          <w:color w:val="000000"/>
          <w:sz w:val="32"/>
          <w:szCs w:val="32"/>
        </w:rPr>
        <w:t>委托的工作；</w:t>
      </w:r>
    </w:p>
    <w:p>
      <w:pPr>
        <w:tabs>
          <w:tab w:val="left" w:pos="420"/>
        </w:tabs>
        <w:adjustRightInd w:val="0"/>
        <w:snapToGrid w:val="0"/>
        <w:spacing w:line="360" w:lineRule="auto"/>
        <w:ind w:firstLine="640" w:firstLineChars="200"/>
      </w:pPr>
      <w:r>
        <w:rPr>
          <w:rFonts w:hint="eastAsia" w:ascii="仿宋_GB2312" w:hAnsi="仿宋_GB2312" w:eastAsia="仿宋_GB2312" w:cs="仿宋_GB2312"/>
          <w:color w:val="000000"/>
          <w:sz w:val="32"/>
          <w:szCs w:val="32"/>
        </w:rPr>
        <w:t>（五）自觉维护</w:t>
      </w:r>
      <w:r>
        <w:rPr>
          <w:rFonts w:hint="eastAsia" w:ascii="仿宋_GB2312" w:hAnsi="仿宋_GB2312" w:eastAsia="仿宋_GB2312" w:cs="仿宋_GB2312"/>
          <w:sz w:val="32"/>
          <w:szCs w:val="32"/>
        </w:rPr>
        <w:t>商标维权援助工作委员会</w:t>
      </w:r>
      <w:r>
        <w:rPr>
          <w:rFonts w:hint="eastAsia" w:ascii="仿宋_GB2312" w:hAnsi="仿宋_GB2312" w:eastAsia="仿宋_GB2312" w:cs="仿宋_GB2312"/>
          <w:color w:val="000000"/>
          <w:sz w:val="32"/>
          <w:szCs w:val="32"/>
        </w:rPr>
        <w:t>声誉。</w:t>
      </w:r>
    </w:p>
    <w:p>
      <w:pPr>
        <w:numPr>
          <w:ilvl w:val="0"/>
          <w:numId w:val="1"/>
        </w:numPr>
        <w:spacing w:line="360" w:lineRule="auto"/>
        <w:ind w:firstLine="643" w:firstLineChars="200"/>
        <w:jc w:val="left"/>
        <w:rPr>
          <w:rFonts w:ascii="仿宋" w:hAnsi="仿宋" w:eastAsia="仿宋" w:cs="仿宋"/>
          <w:b/>
          <w:sz w:val="32"/>
          <w:szCs w:val="32"/>
        </w:rPr>
      </w:pPr>
      <w:r>
        <w:rPr>
          <w:rFonts w:hint="eastAsia" w:ascii="仿宋" w:hAnsi="仿宋" w:eastAsia="仿宋" w:cs="仿宋"/>
          <w:b/>
          <w:sz w:val="32"/>
          <w:szCs w:val="32"/>
        </w:rPr>
        <w:t>申报程序</w:t>
      </w:r>
    </w:p>
    <w:p>
      <w:pPr>
        <w:spacing w:line="360" w:lineRule="auto"/>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符合条件的人员，由单位推荐或者个人自荐的方式申请，经商标维权援助工作委员会报广东商标协会秘书处审核通过予以聘请。单位推荐的，应事先征得被推荐人的同意。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04993"/>
    <w:multiLevelType w:val="singleLevel"/>
    <w:tmpl w:val="5F504993"/>
    <w:lvl w:ilvl="0" w:tentative="0">
      <w:start w:val="1"/>
      <w:numFmt w:val="chineseCounting"/>
      <w:suff w:val="nothing"/>
      <w:lvlText w:val="%1、"/>
      <w:lvlJc w:val="left"/>
    </w:lvl>
  </w:abstractNum>
  <w:abstractNum w:abstractNumId="1">
    <w:nsid w:val="7A294162"/>
    <w:multiLevelType w:val="singleLevel"/>
    <w:tmpl w:val="7A29416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ZjNiZGQ3MDhjMjQ4YjJjMzZhNTA4NGQxMTE2YmIifQ=="/>
  </w:docVars>
  <w:rsids>
    <w:rsidRoot w:val="5164600F"/>
    <w:rsid w:val="516460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2022-08-16T08:24:00Z</dcterms:created>
  <dc:creator>JD张</dc:creator>
  <cp:lastModifiedBy>JD张</cp:lastModifiedBy>
  <dcterms:modified xsi:type="dcterms:W3CDTF">2022-08-16T08:25:01Z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581B9F2826AE499495044923ABBBE428</vt:lpwstr>
  </property>
</Properties>
</file>