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7FC9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附件2：广东商标成果展展位图</w:t>
      </w:r>
    </w:p>
    <w:p w14:paraId="00CDF50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一、连廊标准展位（A02-A06,A08-A12）</w:t>
      </w:r>
      <w:r>
        <w:drawing>
          <wp:inline distT="0" distB="0" distL="114300" distR="114300">
            <wp:extent cx="5272405" cy="493585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3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0D17">
      <w:pPr>
        <w:pStyle w:val="3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978785"/>
            <wp:effectExtent l="0" t="0" r="635" b="8255"/>
            <wp:docPr id="5" name="图片 5" descr="a0f7a5120b11c05547fd36759553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0f7a5120b11c05547fd36759553d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2" name="图片 2" descr="304b0ee734f3c8af9b2b4469d6bf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4b0ee734f3c8af9b2b4469d6bff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6D50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br w:type="page"/>
      </w:r>
    </w:p>
    <w:p w14:paraId="4F053FB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二、室内展位（3Ｍ×3Ｍ）</w:t>
      </w:r>
    </w:p>
    <w:p w14:paraId="5CEEDDC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eastAsia" w:ascii="宋体" w:hAnsi="宋体" w:eastAsia="宋体" w:cs="宋体"/>
          <w:sz w:val="19"/>
          <w:szCs w:val="19"/>
        </w:rPr>
      </w:pPr>
      <w:r>
        <w:drawing>
          <wp:inline distT="0" distB="0" distL="114300" distR="114300">
            <wp:extent cx="5267960" cy="4286250"/>
            <wp:effectExtent l="0" t="0" r="508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339215"/>
            <wp:effectExtent l="0" t="0" r="190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9629D">
      <w:pPr>
        <w:pStyle w:val="2"/>
        <w:rPr>
          <w:rFonts w:hint="default"/>
          <w:lang w:val="en-US" w:eastAsia="zh-CN"/>
        </w:rPr>
      </w:pPr>
    </w:p>
    <w:p w14:paraId="2AB677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26389"/>
    <w:rsid w:val="5E726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2025-01-10T09:22:00Z</dcterms:created>
  <dc:creator>WPS_gdsbxh</dc:creator>
  <cp:lastModifiedBy>WPS_gdsbxh</cp:lastModifiedBy>
  <dcterms:modified xsi:type="dcterms:W3CDTF">2025-01-10T09:23:27Z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F31C93610BA141718C2731F17A5031B6_11</vt:lpwstr>
  </property>
  <property fmtid="{D5CDD505-2E9C-101B-9397-08002B2CF9AE}" pid="4" name="KSOTemplateDocerSaveRecord">
    <vt:lpwstr>eyJoZGlkIjoiNjkxNTI4N2E4MGZmYjJjZjI5NWVkZDZlMDBkZTAxNGYiLCJ1c2VySWQiOiIxMzAzNjYwODUwIn0=</vt:lpwstr>
  </property>
</Properties>
</file>