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D8589">
      <w:pPr>
        <w:pStyle w:val="110"/>
        <w:framePr w:w="8186" w:x="1860" w:y="1933"/>
        <w:rPr>
          <w:color w:val="auto"/>
          <w:sz w:val="84"/>
          <w:szCs w:val="84"/>
          <w:highlight w:val="none"/>
        </w:rPr>
      </w:pPr>
      <w:r>
        <w:rPr>
          <w:rFonts w:hint="eastAsia"/>
          <w:color w:val="auto"/>
          <w:sz w:val="84"/>
          <w:szCs w:val="84"/>
          <w:highlight w:val="none"/>
        </w:rPr>
        <w:t>团体标准</w:t>
      </w:r>
    </w:p>
    <w:p w14:paraId="384C1082">
      <w:pPr>
        <w:pStyle w:val="170"/>
        <w:framePr w:w="8360" w:x="1761" w:y="3517"/>
        <w:rPr>
          <w:rFonts w:hint="eastAsia" w:hAnsi="黑体"/>
          <w:color w:val="auto"/>
          <w:highlight w:val="none"/>
        </w:rPr>
      </w:pPr>
      <w:r>
        <w:rPr>
          <w:rFonts w:hAnsi="黑体"/>
          <w:color w:val="auto"/>
          <w:highlight w:val="none"/>
        </w:rPr>
        <w:t>T/GD</w:t>
      </w:r>
      <w:r>
        <w:rPr>
          <w:rFonts w:hint="eastAsia" w:hAnsi="黑体"/>
          <w:color w:val="auto"/>
          <w:highlight w:val="none"/>
        </w:rPr>
        <w:t>TA</w:t>
      </w:r>
      <w:r>
        <w:rPr>
          <w:rFonts w:hAnsi="黑体"/>
          <w:color w:val="auto"/>
          <w:highlight w:val="none"/>
        </w:rPr>
        <w:t xml:space="preserve"> </w:t>
      </w:r>
      <w:r>
        <w:rPr>
          <w:rFonts w:hint="eastAsia" w:hAnsi="黑体"/>
          <w:color w:val="auto"/>
          <w:highlight w:val="none"/>
        </w:rPr>
        <w:t>XXX—</w:t>
      </w:r>
      <w:r>
        <w:rPr>
          <w:rFonts w:hAnsi="黑体"/>
          <w:color w:val="auto"/>
          <w:highlight w:val="none"/>
        </w:rPr>
        <w:t>202</w:t>
      </w:r>
      <w:r>
        <w:rPr>
          <w:rFonts w:hint="eastAsia" w:hAnsi="黑体"/>
          <w:color w:val="auto"/>
          <w:highlight w:val="none"/>
        </w:rPr>
        <w:t>5</w:t>
      </w:r>
    </w:p>
    <w:p w14:paraId="7ECC95A0">
      <w:pPr>
        <w:pStyle w:val="170"/>
        <w:framePr w:w="8360" w:x="1761" w:y="3517"/>
        <w:rPr>
          <w:rFonts w:hint="eastAsia" w:hAnsi="黑体"/>
          <w:color w:val="auto"/>
          <w:highlight w:val="none"/>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15CB1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vAlign w:val="top"/>
          </w:tcPr>
          <w:p w14:paraId="4A9AACE5">
            <w:pPr>
              <w:pStyle w:val="123"/>
              <w:framePr w:w="8360" w:x="1761" w:y="3517"/>
              <w:rPr>
                <w:color w:val="auto"/>
                <w:highlight w:val="none"/>
              </w:rPr>
            </w:pPr>
          </w:p>
        </w:tc>
      </w:tr>
    </w:tbl>
    <w:p w14:paraId="071877A9">
      <w:pPr>
        <w:pStyle w:val="170"/>
        <w:framePr w:w="8360" w:x="1761" w:y="3517"/>
        <w:rPr>
          <w:rFonts w:hAnsi="黑体"/>
          <w:color w:val="auto"/>
          <w:highlight w:val="none"/>
        </w:rPr>
      </w:pPr>
    </w:p>
    <w:p w14:paraId="34A494B4">
      <w:pPr>
        <w:pStyle w:val="170"/>
        <w:framePr w:w="8360" w:x="1761" w:y="3517"/>
        <w:rPr>
          <w:rFonts w:hAnsi="黑体"/>
          <w:color w:val="auto"/>
          <w:highlight w:val="none"/>
        </w:rPr>
      </w:pPr>
    </w:p>
    <w:p w14:paraId="03FB9F61">
      <w:pPr>
        <w:pStyle w:val="93"/>
        <w:framePr w:x="887" w:y="6168"/>
        <w:rPr>
          <w:color w:val="auto"/>
          <w:highlight w:val="none"/>
        </w:rPr>
      </w:pPr>
      <w:r>
        <w:rPr>
          <w:rFonts w:hint="eastAsia"/>
          <w:color w:val="auto"/>
          <w:highlight w:val="none"/>
        </w:rPr>
        <w:t>广东省知名字号评价规范</w:t>
      </w:r>
    </w:p>
    <w:p w14:paraId="161822CB">
      <w:pPr>
        <w:pStyle w:val="93"/>
        <w:framePr w:x="887" w:y="6168"/>
        <w:rPr>
          <w:rFonts w:hint="eastAsia" w:ascii="Times New Roman"/>
          <w:b/>
          <w:color w:val="auto"/>
          <w:sz w:val="28"/>
          <w:szCs w:val="28"/>
          <w:highlight w:val="none"/>
          <w:shd w:val="clear" w:color="auto" w:fill="FFFFFF"/>
        </w:rPr>
      </w:pPr>
    </w:p>
    <w:p w14:paraId="35CDEE97">
      <w:pPr>
        <w:pStyle w:val="93"/>
        <w:framePr w:x="887" w:y="6168"/>
        <w:rPr>
          <w:rFonts w:hint="eastAsia" w:ascii="Times New Roman"/>
          <w:b/>
          <w:color w:val="auto"/>
          <w:sz w:val="28"/>
          <w:szCs w:val="28"/>
          <w:highlight w:val="none"/>
          <w:lang w:eastAsia="zh-Hans"/>
        </w:rPr>
      </w:pPr>
      <w:r>
        <w:rPr>
          <w:rFonts w:hint="eastAsia" w:ascii="Times New Roman"/>
          <w:b/>
          <w:color w:val="auto"/>
          <w:sz w:val="28"/>
          <w:szCs w:val="28"/>
          <w:highlight w:val="none"/>
        </w:rPr>
        <w:t xml:space="preserve">  </w:t>
      </w:r>
      <w:r>
        <w:rPr>
          <w:rFonts w:ascii="Times New Roman"/>
          <w:b/>
          <w:color w:val="auto"/>
          <w:sz w:val="28"/>
          <w:szCs w:val="28"/>
          <w:highlight w:val="none"/>
        </w:rPr>
        <w:t>Specification for </w:t>
      </w:r>
      <w:r>
        <w:rPr>
          <w:rFonts w:hint="eastAsia" w:ascii="Times New Roman"/>
          <w:b/>
          <w:color w:val="auto"/>
          <w:sz w:val="28"/>
          <w:szCs w:val="28"/>
          <w:highlight w:val="none"/>
        </w:rPr>
        <w:t>evaluation</w:t>
      </w:r>
      <w:r>
        <w:rPr>
          <w:rFonts w:ascii="Times New Roman"/>
          <w:b/>
          <w:color w:val="auto"/>
          <w:sz w:val="28"/>
          <w:szCs w:val="28"/>
          <w:highlight w:val="none"/>
        </w:rPr>
        <w:t> of the </w:t>
      </w:r>
      <w:r>
        <w:rPr>
          <w:rFonts w:hint="eastAsia" w:ascii="Times New Roman"/>
          <w:b/>
          <w:color w:val="auto"/>
          <w:sz w:val="28"/>
          <w:szCs w:val="28"/>
          <w:highlight w:val="none"/>
        </w:rPr>
        <w:t>well-know</w:t>
      </w:r>
      <w:r>
        <w:rPr>
          <w:rFonts w:ascii="Times New Roman"/>
          <w:b/>
          <w:color w:val="auto"/>
          <w:sz w:val="28"/>
          <w:szCs w:val="28"/>
          <w:highlight w:val="none"/>
        </w:rPr>
        <w:t> </w:t>
      </w:r>
      <w:r>
        <w:rPr>
          <w:rFonts w:hint="eastAsia" w:ascii="Times New Roman"/>
          <w:b/>
          <w:color w:val="auto"/>
          <w:sz w:val="28"/>
          <w:szCs w:val="28"/>
          <w:highlight w:val="none"/>
        </w:rPr>
        <w:t>symbols</w:t>
      </w:r>
    </w:p>
    <w:p w14:paraId="4BB81579">
      <w:pPr>
        <w:pStyle w:val="93"/>
        <w:framePr w:x="887" w:y="6168"/>
        <w:rPr>
          <w:rFonts w:ascii="Times New Roman"/>
          <w:b/>
          <w:color w:val="auto"/>
          <w:sz w:val="28"/>
          <w:szCs w:val="28"/>
          <w:highlight w:val="none"/>
        </w:rPr>
      </w:pPr>
      <w:r>
        <w:rPr>
          <w:rFonts w:ascii="Times New Roman"/>
          <w:b/>
          <w:color w:val="auto"/>
          <w:sz w:val="28"/>
          <w:szCs w:val="28"/>
          <w:highlight w:val="none"/>
        </w:rPr>
        <w:t> in </w:t>
      </w:r>
      <w:r>
        <w:rPr>
          <w:rFonts w:hint="eastAsia" w:ascii="Times New Roman"/>
          <w:b/>
          <w:color w:val="auto"/>
          <w:sz w:val="28"/>
          <w:szCs w:val="28"/>
          <w:highlight w:val="none"/>
        </w:rPr>
        <w:t>G</w:t>
      </w:r>
      <w:r>
        <w:rPr>
          <w:rFonts w:ascii="Times New Roman"/>
          <w:b/>
          <w:color w:val="auto"/>
          <w:sz w:val="28"/>
          <w:szCs w:val="28"/>
          <w:highlight w:val="none"/>
        </w:rPr>
        <w:t>uangdong </w:t>
      </w:r>
      <w:r>
        <w:rPr>
          <w:rFonts w:hint="eastAsia" w:ascii="Times New Roman"/>
          <w:b/>
          <w:color w:val="auto"/>
          <w:sz w:val="28"/>
          <w:szCs w:val="28"/>
          <w:highlight w:val="none"/>
        </w:rPr>
        <w:t>P</w:t>
      </w:r>
      <w:r>
        <w:rPr>
          <w:rFonts w:ascii="Times New Roman"/>
          <w:b/>
          <w:color w:val="auto"/>
          <w:sz w:val="28"/>
          <w:szCs w:val="28"/>
          <w:highlight w:val="none"/>
        </w:rPr>
        <w:t xml:space="preserve">rovince </w:t>
      </w:r>
    </w:p>
    <w:p w14:paraId="20620E01">
      <w:pPr>
        <w:pStyle w:val="93"/>
        <w:framePr w:x="887" w:y="6168"/>
        <w:rPr>
          <w:rFonts w:hint="eastAsia" w:hAnsi="黑体" w:eastAsia="黑体"/>
          <w:color w:val="auto"/>
          <w:sz w:val="28"/>
          <w:szCs w:val="28"/>
          <w:highlight w:val="none"/>
          <w:lang w:eastAsia="zh-CN"/>
        </w:rPr>
      </w:pPr>
      <w:r>
        <w:rPr>
          <w:rFonts w:hint="eastAsia" w:hAnsi="黑体"/>
          <w:color w:val="auto"/>
          <w:sz w:val="28"/>
          <w:szCs w:val="28"/>
          <w:highlight w:val="none"/>
          <w:lang w:eastAsia="zh-CN"/>
        </w:rPr>
        <w:t>（</w:t>
      </w:r>
      <w:r>
        <w:rPr>
          <w:rFonts w:hint="eastAsia" w:hAnsi="黑体"/>
          <w:color w:val="auto"/>
          <w:sz w:val="28"/>
          <w:szCs w:val="28"/>
          <w:highlight w:val="none"/>
          <w:lang w:val="en-US" w:eastAsia="zh-CN"/>
        </w:rPr>
        <w:t>征求意见稿</w:t>
      </w:r>
      <w:bookmarkStart w:id="153" w:name="_GoBack"/>
      <w:bookmarkEnd w:id="153"/>
      <w:r>
        <w:rPr>
          <w:rFonts w:hint="eastAsia" w:hAnsi="黑体"/>
          <w:color w:val="auto"/>
          <w:sz w:val="28"/>
          <w:szCs w:val="28"/>
          <w:highlight w:val="none"/>
          <w:lang w:eastAsia="zh-CN"/>
        </w:rPr>
        <w:t>）</w:t>
      </w:r>
    </w:p>
    <w:p w14:paraId="4F0A0F6D">
      <w:pPr>
        <w:pStyle w:val="115"/>
        <w:framePr w:w="3847" w:x="1542" w:y="14207"/>
        <w:rPr>
          <w:color w:val="auto"/>
          <w:highlight w:val="none"/>
        </w:rPr>
      </w:pPr>
      <w:r>
        <w:rPr>
          <w:rFonts w:hint="eastAsia" w:ascii="黑体"/>
          <w:color w:val="auto"/>
          <w:highlight w:val="none"/>
        </w:rPr>
        <w:t>20</w:t>
      </w:r>
      <w:r>
        <w:rPr>
          <w:rFonts w:ascii="黑体"/>
          <w:color w:val="auto"/>
          <w:highlight w:val="none"/>
        </w:rPr>
        <w:t>2</w:t>
      </w:r>
      <w:r>
        <w:rPr>
          <w:rFonts w:hint="eastAsia" w:ascii="黑体"/>
          <w:color w:val="auto"/>
          <w:highlight w:val="none"/>
        </w:rPr>
        <w:t>5</w:t>
      </w:r>
      <w:r>
        <w:rPr>
          <w:color w:val="auto"/>
          <w:highlight w:val="none"/>
        </w:rPr>
        <w:t xml:space="preserve"> </w:t>
      </w:r>
      <w:r>
        <w:rPr>
          <w:rFonts w:ascii="黑体"/>
          <w:color w:val="auto"/>
          <w:highlight w:val="none"/>
        </w:rPr>
        <w:t>-</w:t>
      </w:r>
      <w:r>
        <w:rPr>
          <w:rFonts w:hint="eastAsia" w:ascii="黑体"/>
          <w:color w:val="auto"/>
          <w:highlight w:val="none"/>
        </w:rPr>
        <w:t>XX</w:t>
      </w:r>
      <w:r>
        <w:rPr>
          <w:rFonts w:ascii="黑体"/>
          <w:color w:val="auto"/>
          <w:highlight w:val="none"/>
        </w:rPr>
        <w:t>-</w:t>
      </w:r>
      <w:r>
        <w:rPr>
          <w:rFonts w:hint="eastAsia" w:ascii="黑体"/>
          <w:color w:val="auto"/>
          <w:highlight w:val="none"/>
        </w:rPr>
        <w:t xml:space="preserve"> XX</w:t>
      </w:r>
      <w:r>
        <w:rPr>
          <w:rFonts w:hint="eastAsia"/>
          <w:color w:val="auto"/>
          <w:highlight w:val="none"/>
        </w:rPr>
        <w:t>发布</w:t>
      </w:r>
    </w:p>
    <w:p w14:paraId="55E407A4">
      <w:pPr>
        <w:pStyle w:val="132"/>
        <w:framePr w:w="3622" w:x="6885" w:y="14172"/>
        <w:rPr>
          <w:color w:val="auto"/>
          <w:highlight w:val="none"/>
        </w:rPr>
      </w:pPr>
      <w:r>
        <w:rPr>
          <w:rFonts w:hint="eastAsia" w:ascii="黑体"/>
          <w:color w:val="auto"/>
          <w:highlight w:val="none"/>
        </w:rPr>
        <w:t>20</w:t>
      </w:r>
      <w:r>
        <w:rPr>
          <w:rFonts w:ascii="黑体"/>
          <w:color w:val="auto"/>
          <w:highlight w:val="none"/>
        </w:rPr>
        <w:t>2</w:t>
      </w:r>
      <w:r>
        <w:rPr>
          <w:rFonts w:hint="eastAsia" w:ascii="黑体"/>
          <w:color w:val="auto"/>
          <w:highlight w:val="none"/>
        </w:rPr>
        <w:t>5</w:t>
      </w:r>
      <w:r>
        <w:rPr>
          <w:color w:val="auto"/>
          <w:highlight w:val="none"/>
        </w:rPr>
        <w:t xml:space="preserve"> </w:t>
      </w:r>
      <w:r>
        <w:rPr>
          <w:rFonts w:ascii="黑体"/>
          <w:color w:val="auto"/>
          <w:highlight w:val="none"/>
        </w:rPr>
        <w:t>-</w:t>
      </w:r>
      <w:r>
        <w:rPr>
          <w:color w:val="auto"/>
          <w:highlight w:val="none"/>
        </w:rPr>
        <w:t xml:space="preserve"> </w:t>
      </w:r>
      <w:r>
        <w:rPr>
          <w:rFonts w:hint="eastAsia" w:ascii="黑体"/>
          <w:color w:val="auto"/>
          <w:highlight w:val="none"/>
        </w:rPr>
        <w:t>XX</w:t>
      </w:r>
      <w:r>
        <w:rPr>
          <w:rFonts w:ascii="黑体"/>
          <w:color w:val="auto"/>
          <w:highlight w:val="none"/>
        </w:rPr>
        <w:t>-</w:t>
      </w:r>
      <w:r>
        <w:rPr>
          <w:color w:val="auto"/>
          <w:highlight w:val="none"/>
        </w:rPr>
        <w:t xml:space="preserve"> </w:t>
      </w:r>
      <w:r>
        <w:rPr>
          <w:rFonts w:hint="eastAsia" w:ascii="黑体"/>
          <w:color w:val="auto"/>
          <w:highlight w:val="none"/>
        </w:rPr>
        <w:t>XX</w:t>
      </w:r>
      <w:r>
        <w:rPr>
          <w:rFonts w:hint="eastAsia"/>
          <w:color w:val="auto"/>
          <w:highlight w:val="none"/>
        </w:rPr>
        <w:t>实施</w:t>
      </w:r>
    </w:p>
    <w:p w14:paraId="4877E59D">
      <w:pPr>
        <w:pStyle w:val="155"/>
        <w:framePr w:vAnchor="page" w:hAnchor="page"/>
        <w:rPr>
          <w:color w:val="auto"/>
          <w:highlight w:val="none"/>
        </w:rPr>
      </w:pPr>
      <w:bookmarkStart w:id="0" w:name="fm"/>
      <w:r>
        <w:rPr>
          <w:rStyle w:val="74"/>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-407670</wp:posOffset>
                </wp:positionH>
                <wp:positionV relativeFrom="paragraph">
                  <wp:posOffset>-9318625</wp:posOffset>
                </wp:positionV>
                <wp:extent cx="4380865" cy="756285"/>
                <wp:effectExtent l="7620" t="7620" r="31115" b="23495"/>
                <wp:wrapNone/>
                <wp:docPr id="4" name="文本框 18"/>
                <wp:cNvGraphicFramePr/>
                <a:graphic xmlns:a="http://schemas.openxmlformats.org/drawingml/2006/main">
                  <a:graphicData uri="http://schemas.microsoft.com/office/word/2010/wordprocessingShape">
                    <wps:wsp>
                      <wps:cNvSpPr txBox="1"/>
                      <wps:spPr>
                        <a:xfrm>
                          <a:off x="0" y="0"/>
                          <a:ext cx="4380865" cy="756285"/>
                        </a:xfrm>
                        <a:prstGeom prst="rect">
                          <a:avLst/>
                        </a:prstGeom>
                        <a:gradFill rotWithShape="0">
                          <a:gsLst>
                            <a:gs pos="0">
                              <a:srgbClr val="FFFFFF"/>
                            </a:gs>
                            <a:gs pos="100000">
                              <a:srgbClr val="FFFFFF">
                                <a:alpha val="0"/>
                              </a:srgbClr>
                            </a:gs>
                          </a:gsLst>
                          <a:lin ang="0"/>
                          <a:tileRect/>
                        </a:gradFill>
                        <a:ln w="15875" cap="rnd" cmpd="sng">
                          <a:solidFill>
                            <a:srgbClr val="FFFFFF"/>
                          </a:solidFill>
                          <a:prstDash val="sysDot"/>
                          <a:miter/>
                          <a:headEnd type="none" w="med" len="med"/>
                          <a:tailEnd type="none" w="med" len="med"/>
                        </a:ln>
                      </wps:spPr>
                      <wps:txbx>
                        <w:txbxContent>
                          <w:p w14:paraId="585269E0">
                            <w:pPr>
                              <w:pStyle w:val="172"/>
                              <w:adjustRightInd w:val="0"/>
                              <w:snapToGrid w:val="0"/>
                              <w:rPr>
                                <w:rFonts w:hint="eastAsia" w:hAnsi="黑体" w:cs="黑体"/>
                              </w:rPr>
                            </w:pPr>
                            <w:r>
                              <w:rPr>
                                <w:rFonts w:hint="eastAsia" w:hAnsi="黑体" w:cs="黑体"/>
                              </w:rPr>
                              <w:t>ICS  03.140</w:t>
                            </w:r>
                          </w:p>
                          <w:p w14:paraId="1B569AEF">
                            <w:pPr>
                              <w:adjustRightInd w:val="0"/>
                              <w:snapToGrid w:val="0"/>
                              <w:rPr>
                                <w:rFonts w:hint="eastAsia" w:ascii="黑体" w:hAnsi="黑体" w:eastAsia="黑体" w:cs="黑体"/>
                              </w:rPr>
                            </w:pPr>
                            <w:r>
                              <w:rPr>
                                <w:rFonts w:hint="eastAsia" w:ascii="黑体" w:hAnsi="黑体" w:eastAsia="黑体" w:cs="黑体"/>
                              </w:rPr>
                              <w:t>CCS  A 01</w:t>
                            </w:r>
                          </w:p>
                        </w:txbxContent>
                      </wps:txbx>
                      <wps:bodyPr wrap="square" upright="1"/>
                    </wps:wsp>
                  </a:graphicData>
                </a:graphic>
              </wp:anchor>
            </w:drawing>
          </mc:Choice>
          <mc:Fallback>
            <w:pict>
              <v:shape id="文本框 18" o:spid="_x0000_s1026" o:spt="202" type="#_x0000_t202" style="position:absolute;left:0pt;margin-left:-32.1pt;margin-top:-733.75pt;height:59.55pt;width:344.95pt;z-index:251662336;mso-width-relative:page;mso-height-relative:page;" fillcolor="#FFFFFF" filled="t" stroked="t" coordsize="21600,21600" o:gfxdata="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zZNg3QAAAA8BAAAPAAAAAAAAAAEAIAAAACIAAABkcnMvZG93bnJldi54bWxQSwECFAAU&#10;AAAACACHTuJATLhxR14CAADqBAAADgAAAAAAAAABACAAAAAsAQAAZHJzL2Uyb0RvYy54bWxQSwUG&#10;AAAAAAYABgBZAQAA/AUAAAAA&#10;">
                <v:fill type="gradient" on="t" color2="#FFFFFF" o:opacity2="0f" angle="90" focus="100%" focussize="0,0">
                  <o:fill type="gradientUnscaled" v:ext="backwardCompatible"/>
                </v:fill>
                <v:stroke weight="1.25pt" color="#FFFFFF" joinstyle="miter" dashstyle="1 1" endcap="round"/>
                <v:imagedata o:title=""/>
                <o:lock v:ext="edit" aspectratio="f"/>
                <v:textbox>
                  <w:txbxContent>
                    <w:p w14:paraId="585269E0">
                      <w:pPr>
                        <w:pStyle w:val="172"/>
                        <w:adjustRightInd w:val="0"/>
                        <w:snapToGrid w:val="0"/>
                        <w:rPr>
                          <w:rFonts w:hint="eastAsia" w:hAnsi="黑体" w:cs="黑体"/>
                        </w:rPr>
                      </w:pPr>
                      <w:r>
                        <w:rPr>
                          <w:rFonts w:hint="eastAsia" w:hAnsi="黑体" w:cs="黑体"/>
                        </w:rPr>
                        <w:t>ICS  03.140</w:t>
                      </w:r>
                    </w:p>
                    <w:p w14:paraId="1B569AEF">
                      <w:pPr>
                        <w:adjustRightInd w:val="0"/>
                        <w:snapToGrid w:val="0"/>
                        <w:rPr>
                          <w:rFonts w:hint="eastAsia" w:ascii="黑体" w:hAnsi="黑体" w:eastAsia="黑体" w:cs="黑体"/>
                        </w:rPr>
                      </w:pPr>
                      <w:r>
                        <w:rPr>
                          <w:rFonts w:hint="eastAsia" w:ascii="黑体" w:hAnsi="黑体" w:eastAsia="黑体" w:cs="黑体"/>
                        </w:rPr>
                        <w:t>CCS  A 01</w:t>
                      </w:r>
                    </w:p>
                  </w:txbxContent>
                </v:textbox>
              </v:shape>
            </w:pict>
          </mc:Fallback>
        </mc:AlternateContent>
      </w:r>
      <w:r>
        <w:rPr>
          <w:rStyle w:val="74"/>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-421005</wp:posOffset>
                </wp:positionV>
                <wp:extent cx="5769610" cy="35560"/>
                <wp:effectExtent l="0" t="6350" r="21590" b="8890"/>
                <wp:wrapNone/>
                <wp:docPr id="3" name="Line 3"/>
                <wp:cNvGraphicFramePr/>
                <a:graphic xmlns:a="http://schemas.openxmlformats.org/drawingml/2006/main">
                  <a:graphicData uri="http://schemas.microsoft.com/office/word/2010/wordprocessingShape">
                    <wps:wsp>
                      <wps:cNvCnPr/>
                      <wps:spPr>
                        <a:xfrm flipV="1">
                          <a:off x="0" y="0"/>
                          <a:ext cx="5769610" cy="35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33.75pt;margin-top:-33.15pt;height:2.8pt;width:454.3pt;z-index:251661312;mso-width-relative:page;mso-height-relative:page;" filled="f" stroked="t" coordsize="21600,21600" o:gfxdata="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9Ocr&#10;2QAAAAsBAAAPAAAAAAAAAAEAIAAAACIAAABkcnMvZG93bnJldi54bWxQSwECFAAUAAAACACHTuJA&#10;YQxo7ucBAADnAwAADgAAAAAAAAABACAAAAAoAQAAZHJzL2Uyb0RvYy54bWxQSwUGAAAAAAYABgBZ&#10;AQAAgQUAAAAA&#10;">
                <v:fill on="f" focussize="0,0"/>
                <v:stroke color="#000000" joinstyle="round"/>
                <v:imagedata o:title=""/>
                <o:lock v:ext="edit" aspectratio="f"/>
              </v:line>
            </w:pict>
          </mc:Fallback>
        </mc:AlternateContent>
      </w:r>
      <w:r>
        <w:rPr>
          <w:rStyle w:val="74"/>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-6239510</wp:posOffset>
                </wp:positionV>
                <wp:extent cx="5301615" cy="17780"/>
                <wp:effectExtent l="0" t="6350" r="6985" b="13970"/>
                <wp:wrapNone/>
                <wp:docPr id="2" name="Line 3"/>
                <wp:cNvGraphicFramePr/>
                <a:graphic xmlns:a="http://schemas.openxmlformats.org/drawingml/2006/main">
                  <a:graphicData uri="http://schemas.microsoft.com/office/word/2010/wordprocessingShape">
                    <wps:wsp>
                      <wps:cNvCnPr/>
                      <wps:spPr>
                        <a:xfrm flipV="1">
                          <a:off x="0" y="0"/>
                          <a:ext cx="530161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15.05pt;margin-top:-491.3pt;height:1.4pt;width:417.45pt;z-index:251660288;mso-width-relative:page;mso-height-relative:page;" filled="f" stroked="t" coordsize="21600,21600" o:gfxdata="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uqe&#10;z9oAAAANAQAADwAAAAAAAAABACAAAAAiAAAAZHJzL2Rvd25yZXYueG1sUEsBAhQAFAAAAAgAh07i&#10;QPM9VEnnAQAA5wMAAA4AAAAAAAAAAQAgAAAAKQEAAGRycy9lMm9Eb2MueG1sUEsFBgAAAAAGAAYA&#10;WQEAAIIFAAAAAA==&#10;">
                <v:fill on="f" focussize="0,0"/>
                <v:stroke color="#000000" joinstyle="round"/>
                <v:imagedata o:title=""/>
                <o:lock v:ext="edit" aspectratio="f"/>
              </v:line>
            </w:pict>
          </mc:Fallback>
        </mc:AlternateContent>
      </w:r>
      <w:r>
        <w:rPr>
          <w:rStyle w:val="74"/>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25D5FA60"/>
                        </w:txbxContent>
                      </wps:txbx>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DFH/vPrwEAAHIDAAAOAAAAAAAAAAEAIAAAACkBAABkcnMvZTJvRG9jLnhtbFBLBQYAAAAABgAG&#10;AFkBAABKBQAAAAA=&#10;">
                <v:fill on="t" focussize="0,0"/>
                <v:stroke on="f"/>
                <v:imagedata o:title=""/>
                <o:lock v:ext="edit" aspectratio="f"/>
                <v:textbox>
                  <w:txbxContent>
                    <w:p w14:paraId="25D5FA60"/>
                  </w:txbxContent>
                </v:textbox>
              </v:rect>
            </w:pict>
          </mc:Fallback>
        </mc:AlternateContent>
      </w:r>
      <w:r>
        <w:rPr>
          <w:rStyle w:val="74"/>
          <w:color w:val="auto"/>
          <w:highlight w:val="none"/>
        </w:rPr>
        <w:t>广东商标协会</w:t>
      </w:r>
      <w:bookmarkEnd w:id="0"/>
      <w:r>
        <w:rPr>
          <w:rFonts w:hAnsi="黑体"/>
          <w:color w:val="auto"/>
          <w:spacing w:val="7"/>
          <w:w w:val="100"/>
          <w:highlight w:val="none"/>
        </w:rPr>
        <w:t> </w:t>
      </w:r>
      <w:r>
        <w:rPr>
          <w:rStyle w:val="74"/>
          <w:rFonts w:hint="eastAsia"/>
          <w:color w:val="auto"/>
          <w:highlight w:val="none"/>
        </w:rPr>
        <w:t>发布</w:t>
      </w:r>
    </w:p>
    <w:p w14:paraId="47AF6B9F">
      <w:pPr>
        <w:pStyle w:val="134"/>
        <w:outlineLvl w:val="9"/>
        <w:rPr>
          <w:rFonts w:hint="eastAsia"/>
          <w:color w:val="auto"/>
          <w:highlight w:val="none"/>
        </w:rPr>
      </w:pPr>
      <w:bookmarkStart w:id="1" w:name="_Toc17587"/>
      <w:bookmarkEnd w:id="1"/>
      <w:bookmarkStart w:id="2" w:name="_Toc9282"/>
      <w:bookmarkEnd w:id="2"/>
      <w:bookmarkStart w:id="3" w:name="_Toc4546"/>
      <w:bookmarkEnd w:id="3"/>
      <w:bookmarkStart w:id="4" w:name="_Toc11366"/>
      <w:bookmarkEnd w:id="4"/>
      <w:bookmarkStart w:id="5" w:name="_Toc8653"/>
      <w:bookmarkStart w:id="6" w:name="_Toc11111"/>
      <w:bookmarkStart w:id="7" w:name="_Toc17915"/>
      <w:bookmarkStart w:id="8" w:name="_Toc17662"/>
      <w:bookmarkStart w:id="9" w:name="_Toc28013"/>
      <w:bookmarkStart w:id="10" w:name="_Toc17489"/>
      <w:bookmarkStart w:id="11" w:name="_Toc11707"/>
      <w:bookmarkStart w:id="12" w:name="_Toc13758"/>
      <w:bookmarkStart w:id="13" w:name="_Toc3950"/>
      <w:bookmarkStart w:id="14" w:name="_Toc8221"/>
      <w:bookmarkStart w:id="15" w:name="_Toc14251"/>
      <w:bookmarkStart w:id="16" w:name="_Toc9946"/>
      <w:bookmarkStart w:id="17" w:name="_Toc28421"/>
      <w:bookmarkStart w:id="18" w:name="_Toc29951"/>
      <w:bookmarkStart w:id="19" w:name="_Toc25570"/>
      <w:bookmarkStart w:id="20" w:name="_Toc24584"/>
      <w:bookmarkStart w:id="21" w:name="_Toc22809"/>
      <w:bookmarkStart w:id="22" w:name="_Toc22994"/>
      <w:bookmarkStart w:id="23" w:name="_Toc29300234"/>
      <w:bookmarkStart w:id="24" w:name="_Toc6836"/>
      <w:bookmarkStart w:id="25" w:name="_Toc23667"/>
      <w:bookmarkStart w:id="26" w:name="_Toc16497"/>
      <w:bookmarkStart w:id="27" w:name="_Toc14340"/>
      <w:bookmarkStart w:id="28" w:name="_Toc14472"/>
      <w:bookmarkStart w:id="29" w:name="_Toc3785"/>
      <w:bookmarkStart w:id="30" w:name="_Toc29479"/>
      <w:bookmarkStart w:id="31" w:name="_Toc3163"/>
      <w:bookmarkStart w:id="32" w:name="_Toc1452"/>
      <w:bookmarkStart w:id="33" w:name="_Toc7086"/>
      <w:bookmarkStart w:id="34" w:name="BKQY"/>
      <w:bookmarkStart w:id="35" w:name="_Toc20392"/>
      <w:bookmarkStart w:id="36" w:name="_Toc16151"/>
      <w:bookmarkStart w:id="37" w:name="_Toc12751"/>
      <w:bookmarkStart w:id="38" w:name="_Toc1741"/>
      <w:r>
        <w:rPr>
          <w:rFonts w:hint="eastAsia"/>
          <w:color w:val="auto"/>
          <w:highlight w:val="none"/>
          <w:lang w:eastAsia="zh-Hans"/>
        </w:rPr>
        <w:t>前</w:t>
      </w:r>
      <w:r>
        <w:rPr>
          <w:color w:val="auto"/>
          <w:highlight w:val="none"/>
        </w:rPr>
        <w:t xml:space="preserve">  </w:t>
      </w:r>
      <w:r>
        <w:rPr>
          <w:rFonts w:hint="eastAsia"/>
          <w:color w:val="auto"/>
          <w:highlight w:val="none"/>
        </w:rPr>
        <w:t>言</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4C28D52">
      <w:pPr>
        <w:pStyle w:val="26"/>
        <w:rPr>
          <w:rFonts w:hint="eastAsia" w:hAnsi="宋体"/>
          <w:color w:val="auto"/>
          <w:highlight w:val="none"/>
        </w:rPr>
      </w:pPr>
      <w:r>
        <w:rPr>
          <w:rFonts w:hAnsi="宋体"/>
          <w:color w:val="auto"/>
          <w:highlight w:val="none"/>
        </w:rPr>
        <w:t>本文件</w:t>
      </w:r>
      <w:r>
        <w:rPr>
          <w:rFonts w:hint="eastAsia" w:hAnsi="宋体"/>
          <w:color w:val="auto"/>
          <w:highlight w:val="none"/>
        </w:rPr>
        <w:t>根据GB/T</w:t>
      </w:r>
      <w:r>
        <w:rPr>
          <w:rFonts w:hAnsi="宋体"/>
          <w:color w:val="auto"/>
          <w:highlight w:val="none"/>
        </w:rPr>
        <w:t xml:space="preserve"> 1.1—2020《</w:t>
      </w:r>
      <w:r>
        <w:rPr>
          <w:rFonts w:hint="eastAsia" w:hAnsi="宋体"/>
          <w:color w:val="auto"/>
          <w:highlight w:val="none"/>
          <w:lang w:eastAsia="zh-Hans"/>
        </w:rPr>
        <w:t>标准化工作导则</w:t>
      </w:r>
      <w:r>
        <w:rPr>
          <w:rFonts w:hAnsi="宋体"/>
          <w:color w:val="auto"/>
          <w:highlight w:val="none"/>
          <w:lang w:eastAsia="zh-Hans"/>
        </w:rPr>
        <w:t xml:space="preserve">  </w:t>
      </w:r>
      <w:r>
        <w:rPr>
          <w:rFonts w:hint="eastAsia" w:hAnsi="宋体"/>
          <w:color w:val="auto"/>
          <w:highlight w:val="none"/>
          <w:lang w:eastAsia="zh-Hans"/>
        </w:rPr>
        <w:t>第</w:t>
      </w:r>
      <w:r>
        <w:rPr>
          <w:rFonts w:hAnsi="宋体"/>
          <w:color w:val="auto"/>
          <w:highlight w:val="none"/>
          <w:lang w:eastAsia="zh-Hans"/>
        </w:rPr>
        <w:t>1</w:t>
      </w:r>
      <w:r>
        <w:rPr>
          <w:rFonts w:hint="eastAsia" w:hAnsi="宋体"/>
          <w:color w:val="auto"/>
          <w:highlight w:val="none"/>
          <w:lang w:eastAsia="zh-Hans"/>
        </w:rPr>
        <w:t>部分</w:t>
      </w:r>
      <w:r>
        <w:rPr>
          <w:rFonts w:hAnsi="宋体"/>
          <w:color w:val="auto"/>
          <w:highlight w:val="none"/>
          <w:lang w:eastAsia="zh-Hans"/>
        </w:rPr>
        <w:t>：</w:t>
      </w:r>
      <w:r>
        <w:rPr>
          <w:rFonts w:hint="eastAsia" w:hAnsi="宋体"/>
          <w:color w:val="auto"/>
          <w:highlight w:val="none"/>
          <w:lang w:eastAsia="zh-Hans"/>
        </w:rPr>
        <w:t>标准化文件的结构和起草规则</w:t>
      </w:r>
      <w:r>
        <w:rPr>
          <w:rFonts w:hAnsi="宋体"/>
          <w:color w:val="auto"/>
          <w:highlight w:val="none"/>
        </w:rPr>
        <w:t>》</w:t>
      </w:r>
      <w:r>
        <w:rPr>
          <w:rFonts w:hint="eastAsia" w:hAnsi="宋体"/>
          <w:color w:val="auto"/>
          <w:highlight w:val="none"/>
        </w:rPr>
        <w:t>的规</w:t>
      </w:r>
      <w:r>
        <w:rPr>
          <w:rFonts w:hint="eastAsia" w:hAnsi="宋体"/>
          <w:color w:val="auto"/>
          <w:highlight w:val="none"/>
          <w:lang w:eastAsia="zh-Hans"/>
        </w:rPr>
        <w:t>定</w:t>
      </w:r>
      <w:r>
        <w:rPr>
          <w:rFonts w:hint="eastAsia" w:hAnsi="宋体"/>
          <w:color w:val="auto"/>
          <w:highlight w:val="none"/>
        </w:rPr>
        <w:t>起草。</w:t>
      </w:r>
    </w:p>
    <w:p w14:paraId="7362D9CA">
      <w:pPr>
        <w:pStyle w:val="26"/>
        <w:rPr>
          <w:rFonts w:hAnsi="宋体"/>
          <w:color w:val="auto"/>
          <w:highlight w:val="none"/>
          <w:lang w:eastAsia="zh-Hans"/>
        </w:rPr>
      </w:pPr>
      <w:r>
        <w:rPr>
          <w:rFonts w:hint="eastAsia" w:hAnsi="宋体"/>
          <w:color w:val="auto"/>
          <w:highlight w:val="none"/>
          <w:lang w:eastAsia="zh-Hans"/>
        </w:rPr>
        <w:t>请注意本文件的某些内容可能涉及专利</w:t>
      </w:r>
      <w:r>
        <w:rPr>
          <w:rFonts w:hAnsi="宋体"/>
          <w:color w:val="auto"/>
          <w:highlight w:val="none"/>
          <w:lang w:eastAsia="zh-Hans"/>
        </w:rPr>
        <w:t>。</w:t>
      </w:r>
      <w:r>
        <w:rPr>
          <w:rFonts w:hint="eastAsia" w:hAnsi="宋体"/>
          <w:color w:val="auto"/>
          <w:highlight w:val="none"/>
          <w:lang w:eastAsia="zh-Hans"/>
        </w:rPr>
        <w:t>本文件的发布机构不承担识别专利的责任</w:t>
      </w:r>
      <w:r>
        <w:rPr>
          <w:rFonts w:hAnsi="宋体"/>
          <w:color w:val="auto"/>
          <w:highlight w:val="none"/>
          <w:lang w:eastAsia="zh-Hans"/>
        </w:rPr>
        <w:t>。</w:t>
      </w:r>
    </w:p>
    <w:p w14:paraId="6CEC980F">
      <w:pPr>
        <w:pStyle w:val="26"/>
        <w:rPr>
          <w:rFonts w:hAnsi="宋体"/>
          <w:color w:val="auto"/>
          <w:highlight w:val="none"/>
          <w:lang w:eastAsia="zh-Hans"/>
        </w:rPr>
      </w:pPr>
      <w:r>
        <w:rPr>
          <w:rFonts w:hAnsi="宋体"/>
          <w:color w:val="auto"/>
          <w:highlight w:val="none"/>
        </w:rPr>
        <w:t>本文件</w:t>
      </w:r>
      <w:r>
        <w:rPr>
          <w:rFonts w:hint="eastAsia" w:hAnsi="宋体"/>
          <w:color w:val="auto"/>
          <w:highlight w:val="none"/>
        </w:rPr>
        <w:t>由广东商标协会提出并归口。</w:t>
      </w:r>
    </w:p>
    <w:p w14:paraId="470BCEA7">
      <w:pPr>
        <w:pStyle w:val="26"/>
        <w:rPr>
          <w:rFonts w:hint="eastAsia" w:hAnsi="宋体"/>
          <w:color w:val="auto"/>
          <w:szCs w:val="21"/>
          <w:highlight w:val="none"/>
        </w:rPr>
      </w:pPr>
      <w:r>
        <w:rPr>
          <w:rFonts w:hAnsi="宋体"/>
          <w:color w:val="auto"/>
          <w:highlight w:val="none"/>
        </w:rPr>
        <w:t>本文件</w:t>
      </w:r>
      <w:r>
        <w:rPr>
          <w:rFonts w:hint="eastAsia" w:hAnsi="宋体"/>
          <w:color w:val="auto"/>
          <w:highlight w:val="none"/>
        </w:rPr>
        <w:t>主要起草单位：广东商标协会、</w:t>
      </w:r>
    </w:p>
    <w:p w14:paraId="2452213C">
      <w:pPr>
        <w:pStyle w:val="26"/>
        <w:rPr>
          <w:rFonts w:hint="eastAsia" w:hAnsi="宋体"/>
          <w:color w:val="auto"/>
          <w:highlight w:val="none"/>
        </w:rPr>
      </w:pPr>
      <w:r>
        <w:rPr>
          <w:rFonts w:hAnsi="宋体"/>
          <w:color w:val="auto"/>
          <w:highlight w:val="none"/>
        </w:rPr>
        <w:t>本文件</w:t>
      </w:r>
      <w:r>
        <w:rPr>
          <w:rFonts w:hint="eastAsia" w:hAnsi="宋体"/>
          <w:color w:val="auto"/>
          <w:highlight w:val="none"/>
        </w:rPr>
        <w:t xml:space="preserve">参与起草单位： </w:t>
      </w:r>
    </w:p>
    <w:p w14:paraId="3C442366">
      <w:pPr>
        <w:pStyle w:val="26"/>
        <w:rPr>
          <w:rFonts w:hint="eastAsia" w:hAnsi="宋体"/>
          <w:color w:val="auto"/>
          <w:highlight w:val="none"/>
        </w:rPr>
      </w:pPr>
      <w:r>
        <w:rPr>
          <w:rFonts w:hAnsi="宋体"/>
          <w:color w:val="auto"/>
          <w:highlight w:val="none"/>
        </w:rPr>
        <w:t>本文件</w:t>
      </w:r>
      <w:r>
        <w:rPr>
          <w:rFonts w:hint="eastAsia" w:hAnsi="宋体"/>
          <w:color w:val="auto"/>
          <w:highlight w:val="none"/>
        </w:rPr>
        <w:t xml:space="preserve">起草人： </w:t>
      </w:r>
    </w:p>
    <w:p w14:paraId="46C4CF61">
      <w:pPr>
        <w:pStyle w:val="26"/>
        <w:rPr>
          <w:rFonts w:hAnsi="宋体"/>
          <w:color w:val="auto"/>
          <w:highlight w:val="none"/>
        </w:rPr>
      </w:pPr>
    </w:p>
    <w:p w14:paraId="3BB981FD">
      <w:pPr>
        <w:pStyle w:val="26"/>
        <w:spacing w:line="360" w:lineRule="auto"/>
        <w:rPr>
          <w:rFonts w:hint="eastAsia"/>
          <w:color w:val="auto"/>
          <w:highlight w:val="none"/>
        </w:rPr>
      </w:pPr>
    </w:p>
    <w:p w14:paraId="23CBF236">
      <w:pPr>
        <w:pStyle w:val="26"/>
        <w:spacing w:line="360" w:lineRule="auto"/>
        <w:rPr>
          <w:rFonts w:hint="eastAsia"/>
          <w:color w:val="auto"/>
          <w:highlight w:val="none"/>
        </w:rPr>
      </w:pPr>
    </w:p>
    <w:p w14:paraId="7FF450A0">
      <w:pPr>
        <w:pStyle w:val="26"/>
        <w:spacing w:line="360" w:lineRule="auto"/>
        <w:rPr>
          <w:rFonts w:hint="eastAsia"/>
          <w:color w:val="auto"/>
          <w:highlight w:val="none"/>
        </w:rPr>
      </w:pPr>
    </w:p>
    <w:p w14:paraId="587BB89F">
      <w:pPr>
        <w:pStyle w:val="26"/>
        <w:spacing w:line="360" w:lineRule="auto"/>
        <w:rPr>
          <w:rFonts w:hint="eastAsia"/>
          <w:color w:val="auto"/>
          <w:highlight w:val="none"/>
        </w:rPr>
      </w:pPr>
    </w:p>
    <w:p w14:paraId="37D638ED">
      <w:pPr>
        <w:pStyle w:val="26"/>
        <w:spacing w:line="360" w:lineRule="auto"/>
        <w:rPr>
          <w:rFonts w:hint="eastAsia"/>
          <w:color w:val="auto"/>
          <w:highlight w:val="none"/>
        </w:rPr>
      </w:pPr>
    </w:p>
    <w:p w14:paraId="1B31BE40">
      <w:pPr>
        <w:pStyle w:val="26"/>
        <w:spacing w:line="360" w:lineRule="auto"/>
        <w:rPr>
          <w:rFonts w:hint="eastAsia"/>
          <w:color w:val="auto"/>
          <w:highlight w:val="none"/>
        </w:rPr>
      </w:pPr>
    </w:p>
    <w:p w14:paraId="71168DBA">
      <w:pPr>
        <w:pStyle w:val="134"/>
        <w:outlineLvl w:val="9"/>
        <w:rPr>
          <w:rFonts w:hint="eastAsia"/>
          <w:color w:val="auto"/>
          <w:szCs w:val="22"/>
          <w:highlight w:val="none"/>
        </w:rPr>
        <w:sectPr>
          <w:headerReference r:id="rId3" w:type="default"/>
          <w:footerReference r:id="rId5" w:type="default"/>
          <w:headerReference r:id="rId4" w:type="even"/>
          <w:footerReference r:id="rId6" w:type="even"/>
          <w:pgSz w:w="11906" w:h="16838"/>
          <w:pgMar w:top="567" w:right="1134" w:bottom="1134" w:left="1418" w:header="1418" w:footer="1134" w:gutter="0"/>
          <w:pgNumType w:fmt="upperRoman" w:start="1"/>
          <w:cols w:space="720" w:num="1"/>
          <w:formProt w:val="0"/>
          <w:titlePg/>
          <w:docGrid w:type="lines" w:linePitch="312" w:charSpace="0"/>
        </w:sectPr>
      </w:pPr>
      <w:bookmarkStart w:id="39" w:name="_Toc1853"/>
      <w:bookmarkStart w:id="40" w:name="_Toc29300235"/>
      <w:bookmarkStart w:id="41" w:name="_Toc17145"/>
      <w:bookmarkStart w:id="42" w:name="_Toc4899"/>
      <w:bookmarkStart w:id="43" w:name="_Toc21731"/>
      <w:bookmarkStart w:id="44" w:name="_Toc13221"/>
    </w:p>
    <w:p w14:paraId="3927080F">
      <w:pPr>
        <w:pStyle w:val="134"/>
        <w:outlineLvl w:val="9"/>
        <w:rPr>
          <w:rFonts w:hint="eastAsia"/>
          <w:color w:val="auto"/>
          <w:szCs w:val="22"/>
          <w:highlight w:val="none"/>
        </w:rPr>
      </w:pPr>
      <w:r>
        <w:rPr>
          <w:rFonts w:hint="eastAsia"/>
          <w:color w:val="auto"/>
          <w:szCs w:val="22"/>
          <w:highlight w:val="none"/>
        </w:rPr>
        <w:t>引   言</w:t>
      </w:r>
      <w:bookmarkEnd w:id="39"/>
      <w:bookmarkEnd w:id="40"/>
      <w:bookmarkEnd w:id="41"/>
      <w:bookmarkEnd w:id="42"/>
      <w:bookmarkEnd w:id="43"/>
      <w:bookmarkEnd w:id="44"/>
    </w:p>
    <w:p w14:paraId="0F367E67">
      <w:pPr>
        <w:pStyle w:val="26"/>
        <w:rPr>
          <w:rFonts w:hint="eastAsia" w:hAnsi="宋体"/>
          <w:color w:val="auto"/>
          <w:highlight w:val="none"/>
        </w:rPr>
      </w:pPr>
      <w:bookmarkStart w:id="45" w:name="_Toc27410060"/>
      <w:bookmarkStart w:id="46" w:name="_Toc27409259"/>
      <w:bookmarkStart w:id="47" w:name="_Toc27470782"/>
      <w:bookmarkStart w:id="48" w:name="_Toc27480420"/>
      <w:bookmarkStart w:id="49" w:name="_Toc3682"/>
      <w:r>
        <w:rPr>
          <w:rFonts w:hint="eastAsia" w:hAnsi="宋体"/>
          <w:color w:val="auto"/>
          <w:highlight w:val="none"/>
        </w:rPr>
        <w:t>为规范广东省知名字号的认定与保护工作，维护公平竞争的市场秩序，促进企业品牌建设，根据《中华人民共和国商标法》《中华人民共和国反不正当竞争法》《企业名称登记管理规定》《广东省商事登记条例》《中华老字号示范创建管理办法》《广东省促进老字号创新发展行动方案（2022—2025）》等法律法规，结合广东省经济社会发展状况及产业特色，制定本规范。</w:t>
      </w:r>
    </w:p>
    <w:p w14:paraId="62B4D0CA">
      <w:pPr>
        <w:pStyle w:val="26"/>
        <w:rPr>
          <w:rFonts w:hint="eastAsia" w:hAnsi="宋体"/>
          <w:color w:val="auto"/>
          <w:highlight w:val="none"/>
        </w:rPr>
      </w:pPr>
      <w:r>
        <w:rPr>
          <w:rFonts w:hint="eastAsia" w:hAnsi="宋体"/>
          <w:color w:val="auto"/>
          <w:highlight w:val="none"/>
        </w:rPr>
        <w:t>本规范旨在为广东省内企业字号的知名度认定提供科学、公正的评价标准，探索建立商标与字号之间、字号与字号之间的冲突解决机制，促进企业商标品牌与企业字号的协调保护、保障市场公平竞争秩序。通过规范知名字号的认定与保护，为企业字号提供知名度判断标准和证明，为广东省行政区域内企业登记机关</w:t>
      </w:r>
      <w:r>
        <w:rPr>
          <w:rFonts w:hint="eastAsia" w:hAnsi="宋体"/>
          <w:color w:val="auto"/>
          <w:highlight w:val="none"/>
          <w:lang w:val="en-US" w:eastAsia="zh-CN"/>
        </w:rPr>
        <w:t>提供字号预防性保护</w:t>
      </w:r>
      <w:r>
        <w:rPr>
          <w:rFonts w:hint="eastAsia" w:hAnsi="宋体"/>
          <w:color w:val="auto"/>
          <w:highlight w:val="none"/>
        </w:rPr>
        <w:t>参考依据</w:t>
      </w:r>
      <w:r>
        <w:rPr>
          <w:rFonts w:hint="eastAsia" w:hAnsi="宋体"/>
          <w:color w:val="auto"/>
          <w:highlight w:val="none"/>
          <w:lang w:eastAsia="zh-CN"/>
        </w:rPr>
        <w:t>，</w:t>
      </w:r>
      <w:r>
        <w:rPr>
          <w:rFonts w:hint="eastAsia" w:hAnsi="宋体"/>
          <w:color w:val="auto"/>
          <w:highlight w:val="none"/>
        </w:rPr>
        <w:t>为行政和司法机关处理相关纠纷提供参考依据。</w:t>
      </w:r>
    </w:p>
    <w:p w14:paraId="098733A5">
      <w:pPr>
        <w:pStyle w:val="26"/>
        <w:ind w:left="0" w:leftChars="0" w:firstLine="0" w:firstLineChars="0"/>
        <w:rPr>
          <w:rFonts w:hint="eastAsia"/>
          <w:color w:val="auto"/>
          <w:highlight w:val="none"/>
        </w:rPr>
        <w:sectPr>
          <w:headerReference r:id="rId7" w:type="default"/>
          <w:footerReference r:id="rId8" w:type="default"/>
          <w:footerReference r:id="rId9" w:type="even"/>
          <w:pgSz w:w="11906" w:h="16838"/>
          <w:pgMar w:top="567" w:right="1134" w:bottom="1134" w:left="1418" w:header="1418" w:footer="1134" w:gutter="0"/>
          <w:pgNumType w:fmt="upperRoman"/>
          <w:cols w:space="720" w:num="1"/>
          <w:formProt w:val="0"/>
          <w:docGrid w:type="lines" w:linePitch="312" w:charSpace="0"/>
        </w:sectPr>
      </w:pPr>
    </w:p>
    <w:p w14:paraId="5B6CB691">
      <w:pPr>
        <w:pStyle w:val="111"/>
        <w:rPr>
          <w:rFonts w:hint="eastAsia"/>
          <w:color w:val="auto"/>
          <w:highlight w:val="none"/>
        </w:rPr>
      </w:pPr>
      <w:bookmarkStart w:id="50" w:name="_Toc26141"/>
      <w:bookmarkStart w:id="51" w:name="_Toc31212"/>
      <w:bookmarkStart w:id="52" w:name="_Toc27740"/>
      <w:bookmarkStart w:id="53" w:name="_Toc3591"/>
      <w:r>
        <w:rPr>
          <w:rFonts w:hint="eastAsia"/>
          <w:color w:val="auto"/>
          <w:highlight w:val="none"/>
        </w:rPr>
        <w:t>广东省知名字号评价规范</w:t>
      </w:r>
      <w:bookmarkEnd w:id="45"/>
      <w:bookmarkEnd w:id="46"/>
      <w:bookmarkEnd w:id="47"/>
      <w:bookmarkEnd w:id="48"/>
      <w:bookmarkEnd w:id="49"/>
      <w:bookmarkEnd w:id="50"/>
      <w:bookmarkEnd w:id="51"/>
      <w:bookmarkEnd w:id="52"/>
      <w:bookmarkEnd w:id="53"/>
    </w:p>
    <w:p w14:paraId="11F8C6E1">
      <w:pPr>
        <w:pStyle w:val="109"/>
        <w:ind w:left="420" w:hanging="420" w:hangingChars="200"/>
        <w:outlineLvl w:val="0"/>
        <w:rPr>
          <w:rFonts w:hint="eastAsia"/>
          <w:color w:val="auto"/>
          <w:szCs w:val="22"/>
          <w:highlight w:val="none"/>
        </w:rPr>
      </w:pPr>
      <w:bookmarkStart w:id="54" w:name="_Toc14378"/>
      <w:bookmarkStart w:id="55" w:name="_Toc31796"/>
      <w:bookmarkStart w:id="56" w:name="_Toc5648"/>
      <w:bookmarkStart w:id="57" w:name="_Toc12895"/>
      <w:bookmarkStart w:id="58" w:name="_Toc31229"/>
      <w:bookmarkStart w:id="59" w:name="_Toc20427"/>
      <w:bookmarkStart w:id="60" w:name="_Toc27225"/>
      <w:bookmarkStart w:id="61" w:name="_Toc12836"/>
      <w:bookmarkStart w:id="62" w:name="_Toc29865"/>
      <w:bookmarkStart w:id="63" w:name="_Toc32691"/>
      <w:bookmarkStart w:id="64" w:name="_Toc31944"/>
      <w:bookmarkStart w:id="65" w:name="_Toc4860"/>
      <w:bookmarkStart w:id="66" w:name="_Toc11141"/>
      <w:bookmarkStart w:id="67" w:name="_Toc7595"/>
      <w:bookmarkStart w:id="68" w:name="_Toc22007"/>
      <w:bookmarkStart w:id="69" w:name="_Toc16133"/>
      <w:bookmarkStart w:id="70" w:name="_Toc16763"/>
      <w:bookmarkStart w:id="71" w:name="_Toc32211"/>
      <w:bookmarkStart w:id="72" w:name="_Toc5344"/>
      <w:bookmarkStart w:id="73" w:name="_Toc27522"/>
      <w:bookmarkStart w:id="74" w:name="_Toc15760"/>
      <w:bookmarkStart w:id="75" w:name="_Toc11663"/>
      <w:bookmarkStart w:id="76" w:name="_Toc23033"/>
      <w:bookmarkStart w:id="77" w:name="_Toc17025"/>
      <w:bookmarkStart w:id="78" w:name="_Toc2340"/>
      <w:bookmarkStart w:id="79" w:name="_Toc19789"/>
      <w:bookmarkStart w:id="80" w:name="_Toc15521"/>
      <w:bookmarkStart w:id="81" w:name="_Toc4972"/>
      <w:bookmarkStart w:id="82" w:name="_Toc4101"/>
      <w:bookmarkStart w:id="83" w:name="_Toc4474"/>
      <w:bookmarkStart w:id="84" w:name="_Toc22403"/>
      <w:bookmarkStart w:id="85" w:name="_Toc29300236"/>
      <w:bookmarkStart w:id="86" w:name="_Toc18711"/>
      <w:r>
        <w:rPr>
          <w:rFonts w:hint="eastAsia"/>
          <w:color w:val="auto"/>
          <w:szCs w:val="22"/>
          <w:highlight w:val="none"/>
        </w:rPr>
        <w:t>范围</w:t>
      </w:r>
      <w:bookmarkEnd w:id="54"/>
      <w:bookmarkEnd w:id="55"/>
      <w:bookmarkEnd w:id="56"/>
      <w:bookmarkEnd w:id="57"/>
      <w:bookmarkEnd w:id="58"/>
    </w:p>
    <w:p w14:paraId="788F3485">
      <w:pPr>
        <w:pStyle w:val="26"/>
        <w:autoSpaceDE/>
        <w:autoSpaceDN/>
        <w:rPr>
          <w:rFonts w:hAnsi="宋体"/>
          <w:color w:val="auto"/>
          <w:highlight w:val="none"/>
        </w:rPr>
      </w:pPr>
      <w:r>
        <w:rPr>
          <w:rFonts w:hAnsi="宋体"/>
          <w:color w:val="auto"/>
          <w:highlight w:val="none"/>
        </w:rPr>
        <w:t>本文件</w:t>
      </w:r>
      <w:r>
        <w:rPr>
          <w:rFonts w:hint="eastAsia" w:hAnsi="宋体"/>
          <w:color w:val="auto"/>
          <w:highlight w:val="none"/>
        </w:rPr>
        <w:t>规定</w:t>
      </w:r>
      <w:r>
        <w:rPr>
          <w:rFonts w:hint="eastAsia" w:hAnsi="宋体"/>
          <w:color w:val="auto"/>
          <w:highlight w:val="none"/>
          <w:lang w:eastAsia="zh-Hans"/>
        </w:rPr>
        <w:t>了</w:t>
      </w:r>
      <w:r>
        <w:rPr>
          <w:rFonts w:hint="eastAsia" w:hAnsi="宋体"/>
          <w:color w:val="auto"/>
          <w:highlight w:val="none"/>
        </w:rPr>
        <w:t>广东省知名字号的评价原则、评价指标、评价程序以及管理和运用要求。</w:t>
      </w:r>
    </w:p>
    <w:p w14:paraId="69F013F6">
      <w:pPr>
        <w:pStyle w:val="26"/>
        <w:rPr>
          <w:rFonts w:hAnsi="宋体"/>
          <w:color w:val="auto"/>
          <w:highlight w:val="none"/>
        </w:rPr>
      </w:pPr>
      <w:r>
        <w:rPr>
          <w:rFonts w:hint="eastAsia" w:hAnsi="宋体"/>
          <w:color w:val="auto"/>
          <w:highlight w:val="none"/>
        </w:rPr>
        <w:t>本文件适用于广东省企业</w:t>
      </w:r>
      <w:r>
        <w:rPr>
          <w:rFonts w:hint="eastAsia" w:hAnsi="宋体"/>
          <w:color w:val="auto"/>
          <w:highlight w:val="none"/>
          <w:lang w:val="en-US" w:eastAsia="zh-CN"/>
        </w:rPr>
        <w:t>法人</w:t>
      </w:r>
      <w:r>
        <w:rPr>
          <w:rFonts w:hint="eastAsia" w:hAnsi="宋体"/>
          <w:color w:val="auto"/>
          <w:highlight w:val="none"/>
        </w:rPr>
        <w:t>字号的知名度认定、权利保护及相关管理活动。</w:t>
      </w:r>
    </w:p>
    <w:p w14:paraId="61F670CC">
      <w:pPr>
        <w:pStyle w:val="26"/>
        <w:autoSpaceDE/>
        <w:autoSpaceDN/>
        <w:ind w:firstLine="360"/>
        <w:rPr>
          <w:rFonts w:hint="eastAsia" w:hAnsi="宋体"/>
          <w:color w:val="auto"/>
          <w:sz w:val="18"/>
          <w:szCs w:val="16"/>
          <w:highlight w:val="none"/>
        </w:rPr>
      </w:pPr>
      <w:r>
        <w:rPr>
          <w:rFonts w:hint="eastAsia" w:ascii="黑体" w:hAnsi="黑体" w:eastAsia="黑体" w:cs="黑体"/>
          <w:color w:val="auto"/>
          <w:sz w:val="18"/>
          <w:szCs w:val="16"/>
          <w:highlight w:val="none"/>
          <w:lang w:eastAsia="zh-Hans"/>
        </w:rPr>
        <w:t>注：</w:t>
      </w:r>
      <w:r>
        <w:rPr>
          <w:rFonts w:hint="eastAsia" w:hAnsi="宋体"/>
          <w:color w:val="auto"/>
          <w:sz w:val="18"/>
          <w:szCs w:val="16"/>
          <w:highlight w:val="none"/>
        </w:rPr>
        <w:t>在不引起混淆的情况下，本文件中的“广东省知名字号”简称为“</w:t>
      </w:r>
      <w:r>
        <w:rPr>
          <w:rFonts w:hint="eastAsia" w:hAnsi="宋体"/>
          <w:color w:val="auto"/>
          <w:sz w:val="18"/>
          <w:szCs w:val="16"/>
          <w:highlight w:val="none"/>
          <w:lang w:val="en-US" w:eastAsia="zh-CN"/>
        </w:rPr>
        <w:t>知名字号</w:t>
      </w:r>
      <w:r>
        <w:rPr>
          <w:rFonts w:hint="eastAsia" w:hAnsi="宋体"/>
          <w:color w:val="auto"/>
          <w:sz w:val="18"/>
          <w:szCs w:val="16"/>
          <w:highlight w:val="none"/>
        </w:rPr>
        <w:t>”。</w:t>
      </w:r>
    </w:p>
    <w:p w14:paraId="6DEC164B">
      <w:pPr>
        <w:pStyle w:val="109"/>
        <w:ind w:left="420" w:hanging="420" w:hangingChars="200"/>
        <w:outlineLvl w:val="0"/>
        <w:rPr>
          <w:rFonts w:hint="eastAsia"/>
          <w:color w:val="auto"/>
          <w:szCs w:val="22"/>
          <w:highlight w:val="none"/>
        </w:rPr>
      </w:pPr>
      <w:bookmarkStart w:id="87" w:name="_Toc2884"/>
      <w:bookmarkStart w:id="88" w:name="_Toc19005"/>
      <w:bookmarkStart w:id="89" w:name="_Toc12354"/>
      <w:bookmarkStart w:id="90" w:name="_Toc5639"/>
      <w:bookmarkStart w:id="91" w:name="_Toc5986"/>
      <w:bookmarkStart w:id="92" w:name="_Toc27192"/>
      <w:r>
        <w:rPr>
          <w:rFonts w:hint="eastAsia"/>
          <w:color w:val="auto"/>
          <w:szCs w:val="22"/>
          <w:highlight w:val="none"/>
        </w:rPr>
        <w:t>术语和定义</w:t>
      </w:r>
      <w:bookmarkEnd w:id="87"/>
      <w:bookmarkEnd w:id="88"/>
      <w:bookmarkEnd w:id="89"/>
      <w:bookmarkEnd w:id="90"/>
      <w:bookmarkEnd w:id="91"/>
      <w:bookmarkEnd w:id="92"/>
    </w:p>
    <w:p w14:paraId="0FA251F3">
      <w:pPr>
        <w:pStyle w:val="26"/>
        <w:autoSpaceDE/>
        <w:autoSpaceDN/>
        <w:rPr>
          <w:rFonts w:hAnsi="宋体"/>
          <w:color w:val="auto"/>
          <w:highlight w:val="none"/>
        </w:rPr>
      </w:pPr>
      <w:r>
        <w:rPr>
          <w:rFonts w:hint="eastAsia" w:hAnsi="宋体"/>
          <w:color w:val="auto"/>
          <w:highlight w:val="none"/>
        </w:rPr>
        <w:t>下列术语和定义适用于本文件。</w:t>
      </w:r>
    </w:p>
    <w:p w14:paraId="3136800E">
      <w:pPr>
        <w:pStyle w:val="82"/>
        <w:adjustRightInd w:val="0"/>
        <w:snapToGrid w:val="0"/>
        <w:spacing w:before="0" w:beforeLines="0" w:after="0" w:afterLines="0"/>
        <w:ind w:left="0" w:firstLine="0"/>
        <w:outlineLvl w:val="9"/>
        <w:rPr>
          <w:rFonts w:hint="eastAsia" w:ascii="Times New Roman"/>
          <w:color w:val="auto"/>
          <w:highlight w:val="none"/>
        </w:rPr>
      </w:pPr>
      <w:bookmarkStart w:id="93" w:name="_Toc1888"/>
      <w:bookmarkEnd w:id="93"/>
      <w:bookmarkStart w:id="94" w:name="_Toc6944"/>
      <w:bookmarkEnd w:id="94"/>
      <w:bookmarkStart w:id="95" w:name="_Toc14965"/>
      <w:bookmarkEnd w:id="95"/>
    </w:p>
    <w:p w14:paraId="49E81981">
      <w:pPr>
        <w:pStyle w:val="26"/>
        <w:adjustRightInd w:val="0"/>
        <w:snapToGrid w:val="0"/>
        <w:rPr>
          <w:rFonts w:ascii="黑体" w:hAnsi="黑体" w:eastAsia="黑体" w:cs="黑体"/>
          <w:color w:val="auto"/>
          <w:highlight w:val="none"/>
        </w:rPr>
      </w:pPr>
      <w:r>
        <w:rPr>
          <w:rFonts w:hint="eastAsia" w:ascii="黑体" w:hAnsi="黑体" w:eastAsia="黑体" w:cs="黑体"/>
          <w:color w:val="auto"/>
          <w:highlight w:val="none"/>
        </w:rPr>
        <w:t>字号  symbols</w:t>
      </w:r>
    </w:p>
    <w:p w14:paraId="731C3ECC">
      <w:pPr>
        <w:pStyle w:val="26"/>
        <w:adjustRightInd w:val="0"/>
        <w:snapToGrid w:val="0"/>
        <w:rPr>
          <w:rFonts w:hint="eastAsia" w:hAnsi="宋体"/>
          <w:color w:val="auto"/>
          <w:szCs w:val="22"/>
          <w:highlight w:val="none"/>
        </w:rPr>
      </w:pPr>
      <w:r>
        <w:rPr>
          <w:rFonts w:hint="eastAsia" w:hAnsi="宋体"/>
          <w:color w:val="auto"/>
          <w:szCs w:val="22"/>
          <w:highlight w:val="none"/>
        </w:rPr>
        <w:t>企业名称中除行政区划、行业或者经营特点、组织形式外，依法登记的显著区别于其他企业的核心标志性文字。</w:t>
      </w:r>
    </w:p>
    <w:p w14:paraId="206A8933">
      <w:pPr>
        <w:pStyle w:val="82"/>
        <w:adjustRightInd w:val="0"/>
        <w:snapToGrid w:val="0"/>
        <w:spacing w:before="0" w:beforeLines="0" w:after="0" w:afterLines="0"/>
        <w:ind w:left="0" w:firstLine="0"/>
        <w:outlineLvl w:val="9"/>
        <w:rPr>
          <w:rFonts w:hAnsi="黑体" w:cs="黑体"/>
          <w:color w:val="auto"/>
          <w:highlight w:val="none"/>
        </w:rPr>
      </w:pPr>
    </w:p>
    <w:p w14:paraId="462C47E5">
      <w:pPr>
        <w:pStyle w:val="82"/>
        <w:numPr>
          <w:ilvl w:val="0"/>
          <w:numId w:val="0"/>
        </w:numPr>
        <w:adjustRightInd w:val="0"/>
        <w:snapToGrid w:val="0"/>
        <w:spacing w:before="0" w:beforeLines="0" w:after="0" w:afterLines="0"/>
        <w:ind w:firstLine="420" w:firstLineChars="200"/>
        <w:outlineLvl w:val="9"/>
        <w:rPr>
          <w:rFonts w:hint="eastAsia" w:hAnsi="黑体" w:cs="黑体"/>
          <w:color w:val="auto"/>
          <w:highlight w:val="none"/>
        </w:rPr>
      </w:pPr>
      <w:r>
        <w:rPr>
          <w:rFonts w:hint="eastAsia" w:hAnsi="黑体" w:cs="黑体"/>
          <w:color w:val="auto"/>
          <w:highlight w:val="none"/>
        </w:rPr>
        <w:t xml:space="preserve">知名字号  </w:t>
      </w:r>
      <w:r>
        <w:rPr>
          <w:rFonts w:hint="eastAsia" w:hAnsi="黑体"/>
          <w:color w:val="auto"/>
          <w:highlight w:val="none"/>
        </w:rPr>
        <w:t>well-known symbol</w:t>
      </w:r>
      <w:r>
        <w:rPr>
          <w:rFonts w:hAnsi="黑体"/>
          <w:color w:val="auto"/>
          <w:highlight w:val="none"/>
        </w:rPr>
        <w:t xml:space="preserve"> </w:t>
      </w:r>
    </w:p>
    <w:p w14:paraId="47D226CE">
      <w:pPr>
        <w:pStyle w:val="26"/>
        <w:autoSpaceDE/>
        <w:autoSpaceDN/>
        <w:rPr>
          <w:rFonts w:hAnsi="宋体"/>
          <w:color w:val="auto"/>
          <w:szCs w:val="22"/>
          <w:highlight w:val="none"/>
        </w:rPr>
      </w:pPr>
      <w:r>
        <w:rPr>
          <w:rFonts w:hint="eastAsia" w:hAnsi="宋体"/>
          <w:color w:val="auto"/>
          <w:szCs w:val="22"/>
          <w:highlight w:val="none"/>
        </w:rPr>
        <w:t>在</w:t>
      </w:r>
      <w:r>
        <w:rPr>
          <w:rFonts w:hint="eastAsia" w:hAnsi="宋体"/>
          <w:color w:val="auto"/>
          <w:szCs w:val="22"/>
          <w:highlight w:val="none"/>
          <w:lang w:val="en-US" w:eastAsia="zh-CN"/>
        </w:rPr>
        <w:t>特定市场区域</w:t>
      </w:r>
      <w:r>
        <w:rPr>
          <w:rFonts w:hint="eastAsia" w:hAnsi="宋体"/>
          <w:color w:val="auto"/>
          <w:szCs w:val="22"/>
          <w:highlight w:val="none"/>
        </w:rPr>
        <w:t>内具有</w:t>
      </w:r>
      <w:r>
        <w:rPr>
          <w:rFonts w:hint="eastAsia" w:hAnsi="宋体"/>
          <w:color w:val="auto"/>
          <w:szCs w:val="22"/>
          <w:highlight w:val="none"/>
          <w:lang w:val="en-US" w:eastAsia="zh-CN"/>
        </w:rPr>
        <w:t>一定影响力和</w:t>
      </w:r>
      <w:r>
        <w:rPr>
          <w:rFonts w:hint="eastAsia" w:hAnsi="宋体"/>
          <w:color w:val="auto"/>
          <w:szCs w:val="22"/>
          <w:highlight w:val="none"/>
        </w:rPr>
        <w:t>较高市场知名度、为相关公众所熟知、具有显著商业价值，并与企业主体建立稳定对应关系的字号。</w:t>
      </w:r>
    </w:p>
    <w:p w14:paraId="76607361">
      <w:pPr>
        <w:pStyle w:val="26"/>
        <w:autoSpaceDE/>
        <w:autoSpaceDN/>
        <w:ind w:firstLine="360"/>
        <w:rPr>
          <w:rFonts w:hint="eastAsia" w:hAnsi="宋体"/>
          <w:color w:val="auto"/>
          <w:sz w:val="18"/>
          <w:szCs w:val="16"/>
          <w:highlight w:val="none"/>
        </w:rPr>
      </w:pPr>
      <w:r>
        <w:rPr>
          <w:rFonts w:hint="eastAsia" w:ascii="黑体" w:hAnsi="黑体" w:eastAsia="黑体" w:cs="黑体"/>
          <w:b/>
          <w:bCs/>
          <w:color w:val="auto"/>
          <w:sz w:val="18"/>
          <w:szCs w:val="16"/>
          <w:highlight w:val="none"/>
          <w:lang w:eastAsia="zh-Hans"/>
        </w:rPr>
        <w:t>注1</w:t>
      </w:r>
      <w:r>
        <w:rPr>
          <w:rFonts w:hint="eastAsia" w:ascii="黑体" w:hAnsi="黑体" w:eastAsia="黑体" w:cs="黑体"/>
          <w:color w:val="auto"/>
          <w:sz w:val="18"/>
          <w:szCs w:val="16"/>
          <w:highlight w:val="none"/>
          <w:lang w:eastAsia="zh-Hans"/>
        </w:rPr>
        <w:t>：</w:t>
      </w:r>
      <w:r>
        <w:rPr>
          <w:rFonts w:hint="eastAsia" w:hAnsi="宋体"/>
          <w:color w:val="auto"/>
          <w:sz w:val="18"/>
          <w:szCs w:val="16"/>
          <w:highlight w:val="none"/>
        </w:rPr>
        <w:t>企业主体包含注册地在广东及其他省、自治区、香港特别行政区、澳门特别行政区，且在广东省有实际经营活动的企业法人</w:t>
      </w:r>
      <w:r>
        <w:rPr>
          <w:rFonts w:hint="eastAsia" w:hAnsi="宋体"/>
          <w:color w:val="auto"/>
          <w:sz w:val="18"/>
          <w:szCs w:val="16"/>
          <w:highlight w:val="none"/>
          <w:lang w:val="en-US" w:eastAsia="zh-CN"/>
        </w:rPr>
        <w:t>或注册地在广东，实际经营地在其他市场区域的企业法人</w:t>
      </w:r>
      <w:r>
        <w:rPr>
          <w:rFonts w:hint="eastAsia" w:hAnsi="宋体"/>
          <w:color w:val="auto"/>
          <w:sz w:val="18"/>
          <w:szCs w:val="16"/>
          <w:highlight w:val="none"/>
        </w:rPr>
        <w:t>。</w:t>
      </w:r>
    </w:p>
    <w:p w14:paraId="2604F958">
      <w:pPr>
        <w:pStyle w:val="82"/>
        <w:adjustRightInd w:val="0"/>
        <w:snapToGrid w:val="0"/>
        <w:spacing w:before="0" w:beforeLines="0" w:after="0" w:afterLines="0"/>
        <w:ind w:left="0" w:firstLine="0"/>
        <w:outlineLvl w:val="9"/>
        <w:rPr>
          <w:rFonts w:hint="eastAsia" w:ascii="Times New Roman"/>
          <w:color w:val="auto"/>
          <w:highlight w:val="none"/>
        </w:rPr>
      </w:pPr>
      <w:bookmarkStart w:id="96" w:name="_Toc19442"/>
      <w:bookmarkEnd w:id="96"/>
      <w:bookmarkStart w:id="97" w:name="_Toc15754"/>
      <w:bookmarkEnd w:id="97"/>
      <w:bookmarkStart w:id="98" w:name="_Toc25473"/>
      <w:bookmarkEnd w:id="98"/>
    </w:p>
    <w:p w14:paraId="7FEFCF7F">
      <w:pPr>
        <w:pStyle w:val="26"/>
        <w:adjustRightInd w:val="0"/>
        <w:snapToGrid w:val="0"/>
        <w:rPr>
          <w:rFonts w:hint="eastAsia" w:ascii="黑体" w:hAnsi="黑体" w:eastAsia="黑体" w:cs="黑体"/>
          <w:color w:val="auto"/>
          <w:szCs w:val="22"/>
          <w:highlight w:val="none"/>
        </w:rPr>
      </w:pPr>
      <w:r>
        <w:rPr>
          <w:rFonts w:hint="eastAsia" w:ascii="黑体" w:hAnsi="黑体" w:eastAsia="黑体" w:cs="黑体"/>
          <w:color w:val="auto"/>
          <w:szCs w:val="22"/>
          <w:highlight w:val="none"/>
          <w:lang w:val="en-US" w:eastAsia="zh-CN"/>
        </w:rPr>
        <w:t>相关公众</w:t>
      </w:r>
      <w:r>
        <w:rPr>
          <w:rFonts w:hint="eastAsia" w:ascii="黑体" w:hAnsi="黑体" w:eastAsia="黑体" w:cs="黑体"/>
          <w:color w:val="auto"/>
          <w:szCs w:val="22"/>
          <w:highlight w:val="none"/>
        </w:rPr>
        <w:t xml:space="preserve">  </w:t>
      </w:r>
      <w:r>
        <w:rPr>
          <w:rFonts w:hint="eastAsia" w:ascii="黑体" w:hAnsi="黑体" w:eastAsia="黑体"/>
          <w:color w:val="auto"/>
          <w:szCs w:val="21"/>
          <w:highlight w:val="none"/>
        </w:rPr>
        <w:t xml:space="preserve">interested party </w:t>
      </w:r>
    </w:p>
    <w:p w14:paraId="22505D64">
      <w:pPr>
        <w:pStyle w:val="26"/>
        <w:adjustRightInd w:val="0"/>
        <w:snapToGrid w:val="0"/>
        <w:rPr>
          <w:rFonts w:hint="eastAsia" w:hAnsi="宋体"/>
          <w:color w:val="auto"/>
          <w:szCs w:val="22"/>
          <w:highlight w:val="none"/>
        </w:rPr>
      </w:pPr>
      <w:r>
        <w:rPr>
          <w:rFonts w:hint="eastAsia" w:hAnsi="宋体"/>
          <w:color w:val="auto"/>
          <w:szCs w:val="22"/>
          <w:highlight w:val="none"/>
        </w:rPr>
        <w:t>与使用某字号所标识的企业提供的商品或服务有关的消费者、经营者以及其他市场参与者等。</w:t>
      </w:r>
    </w:p>
    <w:p w14:paraId="1EEB6223">
      <w:pPr>
        <w:pStyle w:val="82"/>
        <w:spacing w:before="0" w:beforeLines="0" w:after="0" w:afterLines="0"/>
        <w:ind w:left="567"/>
        <w:outlineLvl w:val="9"/>
        <w:rPr>
          <w:rFonts w:hint="eastAsia" w:ascii="Times New Roman"/>
          <w:color w:val="auto"/>
          <w:highlight w:val="none"/>
        </w:rPr>
      </w:pPr>
    </w:p>
    <w:p w14:paraId="7B27E581">
      <w:pPr>
        <w:pStyle w:val="26"/>
        <w:adjustRightInd w:val="0"/>
        <w:snapToGrid w:val="0"/>
        <w:rPr>
          <w:rFonts w:hint="eastAsia" w:ascii="黑体" w:hAnsi="黑体" w:eastAsia="黑体" w:cs="黑体"/>
          <w:color w:val="auto"/>
          <w:szCs w:val="22"/>
          <w:highlight w:val="none"/>
        </w:rPr>
      </w:pPr>
      <w:r>
        <w:rPr>
          <w:rFonts w:hint="eastAsia" w:ascii="黑体" w:hAnsi="黑体" w:eastAsia="黑体" w:cs="黑体"/>
          <w:color w:val="auto"/>
          <w:szCs w:val="22"/>
          <w:highlight w:val="none"/>
        </w:rPr>
        <w:t xml:space="preserve">申请人  </w:t>
      </w:r>
      <w:r>
        <w:rPr>
          <w:rFonts w:ascii="Times New Roman" w:eastAsia="黑体"/>
          <w:b/>
          <w:bCs/>
          <w:color w:val="auto"/>
          <w:szCs w:val="22"/>
          <w:highlight w:val="none"/>
        </w:rPr>
        <w:t>applicant</w:t>
      </w:r>
      <w:r>
        <w:rPr>
          <w:rFonts w:hint="eastAsia" w:ascii="黑体" w:hAnsi="黑体" w:eastAsia="黑体" w:cs="黑体"/>
          <w:color w:val="auto"/>
          <w:szCs w:val="22"/>
          <w:highlight w:val="none"/>
        </w:rPr>
        <w:t xml:space="preserve"> </w:t>
      </w:r>
    </w:p>
    <w:p w14:paraId="3C8A7D9A">
      <w:pPr>
        <w:pStyle w:val="26"/>
        <w:adjustRightInd w:val="0"/>
        <w:snapToGrid w:val="0"/>
        <w:rPr>
          <w:rFonts w:hint="eastAsia" w:hAnsi="宋体"/>
          <w:color w:val="auto"/>
          <w:szCs w:val="22"/>
          <w:highlight w:val="none"/>
        </w:rPr>
      </w:pPr>
      <w:r>
        <w:rPr>
          <w:rFonts w:hint="eastAsia" w:hAnsi="宋体"/>
          <w:color w:val="auto"/>
          <w:szCs w:val="22"/>
          <w:highlight w:val="none"/>
        </w:rPr>
        <w:t>申请将其使用的字号</w:t>
      </w:r>
      <w:r>
        <w:rPr>
          <w:rFonts w:hint="eastAsia" w:hAnsi="宋体"/>
          <w:color w:val="auto"/>
          <w:szCs w:val="22"/>
          <w:highlight w:val="none"/>
          <w:lang w:val="en-US" w:eastAsia="zh-CN"/>
        </w:rPr>
        <w:t>认定为</w:t>
      </w:r>
      <w:r>
        <w:rPr>
          <w:rFonts w:hint="eastAsia" w:hAnsi="宋体"/>
          <w:color w:val="auto"/>
          <w:szCs w:val="22"/>
          <w:highlight w:val="none"/>
        </w:rPr>
        <w:t>广东省知名字号的</w:t>
      </w:r>
      <w:r>
        <w:rPr>
          <w:rFonts w:hint="eastAsia" w:hAnsi="宋体"/>
          <w:color w:val="auto"/>
          <w:szCs w:val="22"/>
          <w:highlight w:val="none"/>
          <w:lang w:val="en-US" w:eastAsia="zh-CN"/>
        </w:rPr>
        <w:t>企业法人</w:t>
      </w:r>
      <w:r>
        <w:rPr>
          <w:rFonts w:hint="eastAsia" w:hAnsi="宋体"/>
          <w:color w:val="auto"/>
          <w:szCs w:val="22"/>
          <w:highlight w:val="none"/>
        </w:rPr>
        <w:t>。</w:t>
      </w:r>
    </w:p>
    <w:p w14:paraId="7BADF74D">
      <w:pPr>
        <w:pStyle w:val="82"/>
        <w:spacing w:before="0" w:beforeLines="0" w:after="0" w:afterLines="0"/>
        <w:ind w:left="567"/>
        <w:outlineLvl w:val="9"/>
        <w:rPr>
          <w:rFonts w:hint="eastAsia" w:ascii="Times New Roman"/>
          <w:color w:val="auto"/>
          <w:highlight w:val="none"/>
        </w:rPr>
      </w:pPr>
    </w:p>
    <w:p w14:paraId="418E277B">
      <w:pPr>
        <w:pStyle w:val="26"/>
        <w:adjustRightInd w:val="0"/>
        <w:snapToGrid w:val="0"/>
        <w:rPr>
          <w:rFonts w:hint="default" w:hAnsi="宋体" w:eastAsia="宋体"/>
          <w:b/>
          <w:bCs/>
          <w:color w:val="auto"/>
          <w:szCs w:val="22"/>
          <w:highlight w:val="none"/>
          <w:lang w:val="en-US" w:eastAsia="zh-CN"/>
        </w:rPr>
      </w:pPr>
      <w:r>
        <w:rPr>
          <w:rFonts w:hint="eastAsia" w:hAnsi="宋体"/>
          <w:b/>
          <w:bCs/>
          <w:color w:val="auto"/>
          <w:szCs w:val="22"/>
          <w:highlight w:val="none"/>
        </w:rPr>
        <w:t>广东省知名字号证书</w:t>
      </w:r>
      <w:r>
        <w:rPr>
          <w:rFonts w:hint="eastAsia" w:hAnsi="宋体"/>
          <w:b/>
          <w:bCs/>
          <w:color w:val="auto"/>
          <w:szCs w:val="22"/>
          <w:highlight w:val="none"/>
          <w:lang w:val="en-US" w:eastAsia="zh-CN"/>
        </w:rPr>
        <w:t xml:space="preserve">  Guangdong Well-known Symbol Certificate</w:t>
      </w:r>
    </w:p>
    <w:p w14:paraId="295C0209">
      <w:pPr>
        <w:pStyle w:val="26"/>
        <w:adjustRightInd w:val="0"/>
        <w:snapToGrid w:val="0"/>
        <w:rPr>
          <w:rFonts w:hint="eastAsia" w:hAnsi="宋体"/>
          <w:color w:val="auto"/>
          <w:szCs w:val="22"/>
          <w:highlight w:val="none"/>
        </w:rPr>
      </w:pPr>
      <w:r>
        <w:rPr>
          <w:rFonts w:hint="eastAsia" w:hAnsi="宋体"/>
          <w:color w:val="auto"/>
          <w:szCs w:val="22"/>
          <w:highlight w:val="none"/>
        </w:rPr>
        <w:t>由广东商标协会知名字号保护委员会依据本规范认定并颁发，授予</w:t>
      </w:r>
      <w:r>
        <w:rPr>
          <w:rFonts w:hint="eastAsia" w:hAnsi="宋体"/>
          <w:color w:val="auto"/>
          <w:szCs w:val="22"/>
          <w:highlight w:val="none"/>
          <w:lang w:val="en-US" w:eastAsia="zh-CN"/>
        </w:rPr>
        <w:t>申请人“广东省知名</w:t>
      </w:r>
      <w:r>
        <w:rPr>
          <w:rFonts w:hint="eastAsia" w:hAnsi="宋体"/>
          <w:color w:val="auto"/>
          <w:szCs w:val="22"/>
          <w:highlight w:val="none"/>
        </w:rPr>
        <w:t>字号</w:t>
      </w:r>
      <w:r>
        <w:rPr>
          <w:rFonts w:hint="eastAsia" w:hAnsi="宋体"/>
          <w:color w:val="auto"/>
          <w:szCs w:val="22"/>
          <w:highlight w:val="none"/>
          <w:lang w:val="en-US" w:eastAsia="zh-CN"/>
        </w:rPr>
        <w:t>”</w:t>
      </w:r>
      <w:r>
        <w:rPr>
          <w:rFonts w:hint="eastAsia" w:hAnsi="宋体"/>
          <w:color w:val="auto"/>
          <w:szCs w:val="22"/>
          <w:highlight w:val="none"/>
        </w:rPr>
        <w:t>的</w:t>
      </w:r>
      <w:r>
        <w:rPr>
          <w:rFonts w:hint="eastAsia" w:hAnsi="宋体"/>
          <w:color w:val="auto"/>
          <w:szCs w:val="22"/>
          <w:highlight w:val="none"/>
          <w:lang w:val="en-US" w:eastAsia="zh-CN"/>
        </w:rPr>
        <w:t>认定</w:t>
      </w:r>
      <w:r>
        <w:rPr>
          <w:rFonts w:hint="eastAsia" w:hAnsi="宋体"/>
          <w:color w:val="auto"/>
          <w:szCs w:val="22"/>
          <w:highlight w:val="none"/>
        </w:rPr>
        <w:t>文件。</w:t>
      </w:r>
    </w:p>
    <w:p w14:paraId="437E7D64">
      <w:pPr>
        <w:pStyle w:val="26"/>
        <w:autoSpaceDE/>
        <w:autoSpaceDN/>
        <w:ind w:firstLine="360"/>
        <w:rPr>
          <w:rFonts w:hint="eastAsia" w:ascii="宋体" w:hAnsi="宋体" w:eastAsia="宋体" w:cs="Times New Roman"/>
          <w:color w:val="auto"/>
          <w:sz w:val="18"/>
          <w:szCs w:val="16"/>
          <w:highlight w:val="none"/>
          <w:lang w:val="en-US" w:eastAsia="zh-Hans"/>
        </w:rPr>
      </w:pPr>
      <w:r>
        <w:rPr>
          <w:rFonts w:hint="eastAsia" w:ascii="黑体" w:hAnsi="黑体" w:eastAsia="黑体" w:cs="黑体"/>
          <w:b/>
          <w:bCs/>
          <w:color w:val="auto"/>
          <w:sz w:val="18"/>
          <w:szCs w:val="16"/>
          <w:highlight w:val="none"/>
          <w:lang w:eastAsia="zh-Hans"/>
        </w:rPr>
        <w:t>注</w:t>
      </w:r>
      <w:r>
        <w:rPr>
          <w:rFonts w:hint="eastAsia" w:ascii="黑体" w:hAnsi="黑体" w:eastAsia="黑体" w:cs="黑体"/>
          <w:b/>
          <w:bCs/>
          <w:color w:val="auto"/>
          <w:sz w:val="18"/>
          <w:szCs w:val="16"/>
          <w:highlight w:val="none"/>
          <w:lang w:val="en-US" w:eastAsia="zh-CN"/>
        </w:rPr>
        <w:t>2</w:t>
      </w:r>
      <w:r>
        <w:rPr>
          <w:rFonts w:hint="eastAsia" w:ascii="黑体" w:hAnsi="黑体" w:eastAsia="黑体" w:cs="黑体"/>
          <w:b/>
          <w:bCs/>
          <w:color w:val="auto"/>
          <w:sz w:val="18"/>
          <w:szCs w:val="16"/>
          <w:highlight w:val="none"/>
          <w:lang w:eastAsia="zh-Hans"/>
        </w:rPr>
        <w:t>：</w:t>
      </w:r>
      <w:r>
        <w:rPr>
          <w:rFonts w:hint="eastAsia" w:ascii="宋体" w:hAnsi="宋体" w:eastAsia="宋体" w:cs="Times New Roman"/>
          <w:color w:val="auto"/>
          <w:sz w:val="18"/>
          <w:szCs w:val="16"/>
          <w:highlight w:val="none"/>
          <w:lang w:val="en-US" w:eastAsia="zh-Hans"/>
        </w:rPr>
        <w:t>本证书是</w:t>
      </w:r>
      <w:r>
        <w:rPr>
          <w:rFonts w:hint="eastAsia" w:ascii="宋体" w:hAnsi="宋体" w:eastAsia="宋体" w:cs="Times New Roman"/>
          <w:color w:val="auto"/>
          <w:sz w:val="18"/>
          <w:szCs w:val="16"/>
          <w:highlight w:val="none"/>
          <w:lang w:val="en-US" w:eastAsia="zh-CN"/>
        </w:rPr>
        <w:t>依据本规范</w:t>
      </w:r>
      <w:r>
        <w:rPr>
          <w:rFonts w:hint="eastAsia" w:ascii="宋体" w:hAnsi="宋体" w:eastAsia="宋体" w:cs="Times New Roman"/>
          <w:color w:val="auto"/>
          <w:sz w:val="18"/>
          <w:szCs w:val="16"/>
          <w:highlight w:val="none"/>
          <w:lang w:val="en-US" w:eastAsia="zh-Hans"/>
        </w:rPr>
        <w:t>评价结果的证明文件，包含被认定字号、</w:t>
      </w:r>
      <w:r>
        <w:rPr>
          <w:rFonts w:hint="eastAsia" w:ascii="宋体" w:hAnsi="宋体" w:eastAsia="宋体" w:cs="Times New Roman"/>
          <w:color w:val="auto"/>
          <w:sz w:val="18"/>
          <w:szCs w:val="16"/>
          <w:highlight w:val="none"/>
          <w:lang w:val="en-US" w:eastAsia="zh-CN"/>
        </w:rPr>
        <w:t>申请人</w:t>
      </w:r>
      <w:r>
        <w:rPr>
          <w:rFonts w:hint="eastAsia" w:ascii="宋体" w:hAnsi="宋体" w:eastAsia="宋体" w:cs="Times New Roman"/>
          <w:color w:val="auto"/>
          <w:sz w:val="18"/>
          <w:szCs w:val="16"/>
          <w:highlight w:val="none"/>
          <w:lang w:val="en-US" w:eastAsia="zh-Hans"/>
        </w:rPr>
        <w:t>名称、地址等</w:t>
      </w:r>
      <w:r>
        <w:rPr>
          <w:rFonts w:hint="eastAsia" w:hAnsi="宋体" w:cs="Times New Roman"/>
          <w:color w:val="auto"/>
          <w:sz w:val="18"/>
          <w:szCs w:val="16"/>
          <w:highlight w:val="none"/>
          <w:lang w:val="en-US" w:eastAsia="zh-CN"/>
        </w:rPr>
        <w:t>相关</w:t>
      </w:r>
      <w:r>
        <w:rPr>
          <w:rFonts w:hint="eastAsia" w:ascii="宋体" w:hAnsi="宋体" w:eastAsia="宋体" w:cs="Times New Roman"/>
          <w:color w:val="auto"/>
          <w:sz w:val="18"/>
          <w:szCs w:val="16"/>
          <w:highlight w:val="none"/>
          <w:lang w:val="en-US" w:eastAsia="zh-Hans"/>
        </w:rPr>
        <w:t>事项</w:t>
      </w:r>
      <w:r>
        <w:rPr>
          <w:rFonts w:hint="eastAsia" w:ascii="宋体" w:hAnsi="宋体" w:eastAsia="宋体" w:cs="Times New Roman"/>
          <w:color w:val="auto"/>
          <w:sz w:val="18"/>
          <w:szCs w:val="16"/>
          <w:highlight w:val="none"/>
          <w:lang w:val="en-US" w:eastAsia="zh-CN"/>
        </w:rPr>
        <w:t>，认定依据、</w:t>
      </w:r>
      <w:r>
        <w:rPr>
          <w:rFonts w:hint="eastAsia" w:ascii="宋体" w:hAnsi="宋体" w:eastAsia="宋体" w:cs="Times New Roman"/>
          <w:color w:val="auto"/>
          <w:sz w:val="18"/>
          <w:szCs w:val="16"/>
          <w:highlight w:val="none"/>
          <w:lang w:val="en-US" w:eastAsia="zh-Hans"/>
        </w:rPr>
        <w:t>有效期</w:t>
      </w:r>
      <w:r>
        <w:rPr>
          <w:rFonts w:hint="eastAsia" w:ascii="宋体" w:hAnsi="宋体" w:eastAsia="宋体" w:cs="Times New Roman"/>
          <w:color w:val="auto"/>
          <w:sz w:val="18"/>
          <w:szCs w:val="16"/>
          <w:highlight w:val="none"/>
          <w:lang w:val="en-US" w:eastAsia="zh-CN"/>
        </w:rPr>
        <w:t>、</w:t>
      </w:r>
      <w:r>
        <w:rPr>
          <w:rFonts w:hint="eastAsia" w:ascii="宋体" w:hAnsi="宋体" w:eastAsia="宋体" w:cs="Times New Roman"/>
          <w:color w:val="auto"/>
          <w:sz w:val="18"/>
          <w:szCs w:val="16"/>
          <w:highlight w:val="none"/>
          <w:lang w:val="en-US" w:eastAsia="zh-Hans"/>
        </w:rPr>
        <w:t>认定编号</w:t>
      </w:r>
      <w:r>
        <w:rPr>
          <w:rFonts w:hint="eastAsia" w:ascii="宋体" w:hAnsi="宋体" w:eastAsia="宋体" w:cs="Times New Roman"/>
          <w:color w:val="auto"/>
          <w:sz w:val="18"/>
          <w:szCs w:val="16"/>
          <w:highlight w:val="none"/>
          <w:lang w:val="en-US" w:eastAsia="zh-CN"/>
        </w:rPr>
        <w:t>及溯源认证码</w:t>
      </w:r>
      <w:r>
        <w:rPr>
          <w:rFonts w:hint="eastAsia" w:ascii="宋体" w:hAnsi="宋体" w:eastAsia="宋体" w:cs="Times New Roman"/>
          <w:color w:val="auto"/>
          <w:sz w:val="18"/>
          <w:szCs w:val="16"/>
          <w:highlight w:val="none"/>
          <w:lang w:val="en-US" w:eastAsia="zh-Hans"/>
        </w:rPr>
        <w:t>等信息。</w:t>
      </w:r>
    </w:p>
    <w:p w14:paraId="3B9CB03A">
      <w:pPr>
        <w:pStyle w:val="26"/>
        <w:autoSpaceDE/>
        <w:autoSpaceDN/>
        <w:ind w:firstLine="360"/>
        <w:rPr>
          <w:rFonts w:hint="eastAsia" w:ascii="宋体" w:hAnsi="宋体" w:eastAsia="宋体" w:cs="Times New Roman"/>
          <w:color w:val="auto"/>
          <w:sz w:val="18"/>
          <w:szCs w:val="16"/>
          <w:highlight w:val="none"/>
          <w:lang w:val="en-US" w:eastAsia="zh-Hans"/>
        </w:rPr>
      </w:pPr>
      <w:r>
        <w:rPr>
          <w:rFonts w:hint="eastAsia" w:ascii="黑体" w:hAnsi="黑体" w:eastAsia="黑体" w:cs="黑体"/>
          <w:b/>
          <w:bCs/>
          <w:color w:val="auto"/>
          <w:sz w:val="18"/>
          <w:szCs w:val="16"/>
          <w:highlight w:val="none"/>
          <w:lang w:val="en-US" w:eastAsia="zh-Hans"/>
        </w:rPr>
        <w:t>注</w:t>
      </w:r>
      <w:r>
        <w:rPr>
          <w:rFonts w:hint="eastAsia" w:ascii="黑体" w:hAnsi="黑体" w:eastAsia="黑体" w:cs="黑体"/>
          <w:b/>
          <w:bCs/>
          <w:color w:val="auto"/>
          <w:sz w:val="18"/>
          <w:szCs w:val="16"/>
          <w:highlight w:val="none"/>
          <w:lang w:val="en-US" w:eastAsia="zh-CN"/>
        </w:rPr>
        <w:t>3</w:t>
      </w:r>
      <w:r>
        <w:rPr>
          <w:rFonts w:hint="eastAsia" w:ascii="黑体" w:hAnsi="黑体" w:eastAsia="黑体" w:cs="黑体"/>
          <w:b/>
          <w:bCs/>
          <w:color w:val="auto"/>
          <w:sz w:val="18"/>
          <w:szCs w:val="16"/>
          <w:highlight w:val="none"/>
          <w:lang w:val="en-US" w:eastAsia="zh-Hans"/>
        </w:rPr>
        <w:t>：</w:t>
      </w:r>
      <w:r>
        <w:rPr>
          <w:rFonts w:hint="eastAsia" w:ascii="宋体" w:hAnsi="宋体" w:eastAsia="宋体" w:cs="Times New Roman"/>
          <w:color w:val="auto"/>
          <w:sz w:val="18"/>
          <w:szCs w:val="16"/>
          <w:highlight w:val="none"/>
          <w:lang w:val="en-US" w:eastAsia="zh-Hans"/>
        </w:rPr>
        <w:t>证书效力基于</w:t>
      </w:r>
      <w:r>
        <w:rPr>
          <w:rFonts w:hint="eastAsia" w:ascii="宋体" w:hAnsi="宋体" w:eastAsia="宋体" w:cs="Times New Roman"/>
          <w:color w:val="auto"/>
          <w:sz w:val="18"/>
          <w:szCs w:val="16"/>
          <w:highlight w:val="none"/>
          <w:lang w:val="en-US" w:eastAsia="zh-CN"/>
        </w:rPr>
        <w:t>本评价规范</w:t>
      </w:r>
      <w:r>
        <w:rPr>
          <w:rFonts w:hint="eastAsia" w:ascii="宋体" w:hAnsi="宋体" w:eastAsia="宋体" w:cs="Times New Roman"/>
          <w:color w:val="auto"/>
          <w:sz w:val="18"/>
          <w:szCs w:val="16"/>
          <w:highlight w:val="none"/>
          <w:lang w:val="en-US" w:eastAsia="zh-Hans"/>
        </w:rPr>
        <w:t>产生，其认定结果可作为广东省市场监管、公安、海关等行政执法部门和司法机关的参考依据。</w:t>
      </w:r>
    </w:p>
    <w:p w14:paraId="6C86C6F1">
      <w:pPr>
        <w:pStyle w:val="26"/>
        <w:autoSpaceDE/>
        <w:autoSpaceDN/>
        <w:ind w:firstLine="360"/>
        <w:rPr>
          <w:rFonts w:hint="default" w:ascii="宋体" w:hAnsi="宋体" w:eastAsia="宋体" w:cs="Times New Roman"/>
          <w:color w:val="auto"/>
          <w:sz w:val="18"/>
          <w:szCs w:val="16"/>
          <w:highlight w:val="none"/>
          <w:lang w:val="en-US" w:eastAsia="zh-Hans"/>
        </w:rPr>
      </w:pPr>
      <w:r>
        <w:rPr>
          <w:rFonts w:hint="eastAsia" w:ascii="黑体" w:hAnsi="黑体" w:eastAsia="黑体" w:cs="黑体"/>
          <w:b/>
          <w:bCs/>
          <w:color w:val="auto"/>
          <w:sz w:val="18"/>
          <w:szCs w:val="16"/>
          <w:highlight w:val="none"/>
          <w:lang w:val="en-US" w:eastAsia="zh-Hans"/>
        </w:rPr>
        <w:t>注</w:t>
      </w:r>
      <w:r>
        <w:rPr>
          <w:rFonts w:hint="eastAsia" w:ascii="黑体" w:hAnsi="黑体" w:eastAsia="黑体" w:cs="黑体"/>
          <w:b/>
          <w:bCs/>
          <w:color w:val="auto"/>
          <w:sz w:val="18"/>
          <w:szCs w:val="16"/>
          <w:highlight w:val="none"/>
          <w:lang w:val="en-US" w:eastAsia="zh-CN"/>
        </w:rPr>
        <w:t>4</w:t>
      </w:r>
      <w:r>
        <w:rPr>
          <w:rFonts w:hint="eastAsia" w:ascii="黑体" w:hAnsi="黑体" w:eastAsia="黑体" w:cs="黑体"/>
          <w:b/>
          <w:bCs/>
          <w:color w:val="auto"/>
          <w:sz w:val="18"/>
          <w:szCs w:val="16"/>
          <w:highlight w:val="none"/>
          <w:lang w:val="en-US" w:eastAsia="zh-Hans"/>
        </w:rPr>
        <w:t>：</w:t>
      </w:r>
      <w:r>
        <w:rPr>
          <w:rFonts w:hint="eastAsia" w:ascii="黑体" w:hAnsi="黑体" w:eastAsia="黑体" w:cs="黑体"/>
          <w:b/>
          <w:bCs/>
          <w:color w:val="auto"/>
          <w:sz w:val="18"/>
          <w:szCs w:val="16"/>
          <w:highlight w:val="none"/>
          <w:lang w:val="en-US" w:eastAsia="zh-CN"/>
        </w:rPr>
        <w:t>“</w:t>
      </w:r>
      <w:r>
        <w:rPr>
          <w:rFonts w:hint="eastAsia" w:ascii="宋体" w:hAnsi="宋体" w:eastAsia="宋体" w:cs="Times New Roman"/>
          <w:color w:val="auto"/>
          <w:sz w:val="18"/>
          <w:szCs w:val="16"/>
          <w:highlight w:val="none"/>
          <w:lang w:val="en-US" w:eastAsia="zh-CN"/>
        </w:rPr>
        <w:t>溯源认证</w:t>
      </w:r>
      <w:r>
        <w:rPr>
          <w:rFonts w:hint="eastAsia" w:ascii="黑体" w:hAnsi="黑体" w:eastAsia="黑体" w:cs="黑体"/>
          <w:b/>
          <w:bCs/>
          <w:color w:val="auto"/>
          <w:sz w:val="18"/>
          <w:szCs w:val="16"/>
          <w:highlight w:val="none"/>
          <w:lang w:val="en-US" w:eastAsia="zh-CN"/>
        </w:rPr>
        <w:t>”</w:t>
      </w:r>
      <w:r>
        <w:rPr>
          <w:rFonts w:hint="eastAsia" w:ascii="宋体" w:hAnsi="宋体" w:eastAsia="宋体" w:cs="Times New Roman"/>
          <w:color w:val="auto"/>
          <w:sz w:val="18"/>
          <w:szCs w:val="16"/>
          <w:highlight w:val="none"/>
          <w:lang w:val="en-US" w:eastAsia="zh-CN"/>
        </w:rPr>
        <w:t>是广东省通信管理局联合省工信厅、省市场监督管理局等十七部门为深入贯彻落实工业和信息化部等十二部门联合印发的《工业互联网标识解析体系“贯通”行动计划（2024</w:t>
      </w:r>
      <w:r>
        <w:rPr>
          <w:rFonts w:hint="eastAsia" w:hAnsi="宋体" w:cs="Times New Roman"/>
          <w:color w:val="auto"/>
          <w:sz w:val="18"/>
          <w:szCs w:val="16"/>
          <w:highlight w:val="none"/>
          <w:lang w:val="en-US" w:eastAsia="zh-CN"/>
        </w:rPr>
        <w:t>—</w:t>
      </w:r>
      <w:r>
        <w:rPr>
          <w:rFonts w:hint="eastAsia" w:ascii="宋体" w:hAnsi="宋体" w:eastAsia="宋体" w:cs="Times New Roman"/>
          <w:color w:val="auto"/>
          <w:sz w:val="18"/>
          <w:szCs w:val="16"/>
          <w:highlight w:val="none"/>
          <w:lang w:val="en-US" w:eastAsia="zh-CN"/>
        </w:rPr>
        <w:t>2026年）》，推动广东省工业互联网标识解析赋能千行百业，开展的广东省工业互联网标识解析体系“千标通粤”贯通行动。</w:t>
      </w:r>
    </w:p>
    <w:p w14:paraId="7A1376D9">
      <w:pPr>
        <w:pStyle w:val="109"/>
        <w:ind w:left="420" w:hanging="420" w:hangingChars="200"/>
        <w:outlineLvl w:val="0"/>
        <w:rPr>
          <w:color w:val="auto"/>
          <w:szCs w:val="22"/>
          <w:highlight w:val="none"/>
        </w:rPr>
      </w:pPr>
      <w:bookmarkStart w:id="99" w:name="_Toc30175"/>
      <w:bookmarkStart w:id="100" w:name="_Toc21997"/>
      <w:bookmarkStart w:id="101" w:name="_Toc26331"/>
      <w:bookmarkStart w:id="102" w:name="_Toc26375"/>
      <w:bookmarkStart w:id="103" w:name="_Toc11496"/>
      <w:bookmarkStart w:id="104" w:name="_Toc10768"/>
      <w:r>
        <w:rPr>
          <w:rFonts w:hint="eastAsia"/>
          <w:color w:val="auto"/>
          <w:szCs w:val="22"/>
          <w:highlight w:val="none"/>
        </w:rPr>
        <w:t>管理机构</w:t>
      </w:r>
      <w:bookmarkEnd w:id="99"/>
      <w:bookmarkEnd w:id="100"/>
      <w:bookmarkEnd w:id="101"/>
      <w:bookmarkEnd w:id="102"/>
      <w:bookmarkEnd w:id="103"/>
      <w:bookmarkEnd w:id="104"/>
    </w:p>
    <w:p w14:paraId="4694114E">
      <w:pPr>
        <w:pStyle w:val="82"/>
        <w:adjustRightInd w:val="0"/>
        <w:snapToGrid w:val="0"/>
        <w:spacing w:before="0" w:beforeLines="0" w:after="0" w:afterLines="0"/>
        <w:ind w:left="0" w:firstLine="0"/>
        <w:outlineLvl w:val="9"/>
        <w:rPr>
          <w:rFonts w:hint="eastAsia" w:hAnsi="宋体"/>
          <w:color w:val="auto"/>
          <w:szCs w:val="22"/>
          <w:highlight w:val="none"/>
        </w:rPr>
      </w:pPr>
    </w:p>
    <w:p w14:paraId="10608CAD">
      <w:pPr>
        <w:pStyle w:val="82"/>
        <w:numPr>
          <w:ilvl w:val="1"/>
          <w:numId w:val="0"/>
        </w:numPr>
        <w:adjustRightInd w:val="0"/>
        <w:snapToGrid w:val="0"/>
        <w:spacing w:before="0" w:beforeLines="0" w:after="0" w:afterLines="0"/>
        <w:ind w:leftChars="0" w:firstLine="420" w:firstLineChars="200"/>
        <w:outlineLvl w:val="9"/>
        <w:rPr>
          <w:rFonts w:hint="eastAsia" w:hAnsi="宋体"/>
          <w:color w:val="auto"/>
          <w:szCs w:val="22"/>
          <w:highlight w:val="none"/>
        </w:rPr>
      </w:pPr>
      <w:r>
        <w:rPr>
          <w:rFonts w:hint="eastAsia" w:ascii="Times New Roman"/>
          <w:color w:val="auto"/>
          <w:highlight w:val="none"/>
          <w:lang w:val="en-US" w:eastAsia="zh-CN"/>
        </w:rPr>
        <w:t>字保委</w:t>
      </w:r>
    </w:p>
    <w:p w14:paraId="100B41E8">
      <w:pPr>
        <w:pStyle w:val="26"/>
        <w:autoSpaceDE/>
        <w:autoSpaceDN/>
        <w:rPr>
          <w:rFonts w:hint="eastAsia" w:hAnsi="宋体"/>
          <w:color w:val="auto"/>
          <w:szCs w:val="22"/>
          <w:highlight w:val="none"/>
        </w:rPr>
      </w:pPr>
      <w:r>
        <w:rPr>
          <w:rFonts w:hint="eastAsia" w:hAnsi="宋体"/>
          <w:color w:val="auto"/>
          <w:szCs w:val="22"/>
          <w:highlight w:val="none"/>
        </w:rPr>
        <w:t>广东商标协会知名字号保护委员会（以下简称“字保委”）负责知名字</w:t>
      </w:r>
      <w:r>
        <w:rPr>
          <w:rFonts w:hint="eastAsia" w:hAnsi="宋体"/>
          <w:color w:val="auto"/>
          <w:szCs w:val="22"/>
          <w:highlight w:val="none"/>
          <w:lang w:eastAsia="zh-CN"/>
        </w:rPr>
        <w:t>号</w:t>
      </w:r>
      <w:r>
        <w:rPr>
          <w:rFonts w:hint="eastAsia" w:hAnsi="宋体"/>
          <w:color w:val="auto"/>
          <w:szCs w:val="22"/>
          <w:highlight w:val="none"/>
        </w:rPr>
        <w:t>申请的审议、纳入、调整等管理工作。</w:t>
      </w:r>
    </w:p>
    <w:p w14:paraId="7A482094">
      <w:pPr>
        <w:pStyle w:val="26"/>
        <w:autoSpaceDE/>
        <w:autoSpaceDN/>
        <w:rPr>
          <w:rFonts w:hint="eastAsia" w:hAnsi="宋体" w:eastAsia="宋体"/>
          <w:color w:val="auto"/>
          <w:szCs w:val="22"/>
          <w:highlight w:val="none"/>
          <w:lang w:eastAsia="zh-CN"/>
        </w:rPr>
      </w:pPr>
      <w:r>
        <w:rPr>
          <w:rFonts w:hint="eastAsia" w:hAnsi="宋体"/>
          <w:color w:val="auto"/>
          <w:szCs w:val="22"/>
          <w:highlight w:val="none"/>
        </w:rPr>
        <w:t>由字保委</w:t>
      </w:r>
      <w:r>
        <w:rPr>
          <w:rFonts w:hint="eastAsia" w:hAnsi="宋体"/>
          <w:color w:val="auto"/>
          <w:szCs w:val="22"/>
          <w:highlight w:val="none"/>
          <w:lang w:val="en-US" w:eastAsia="zh-CN"/>
        </w:rPr>
        <w:t>遴选</w:t>
      </w:r>
      <w:r>
        <w:rPr>
          <w:rFonts w:hint="eastAsia" w:hAnsi="宋体"/>
          <w:color w:val="auto"/>
          <w:szCs w:val="22"/>
          <w:highlight w:val="none"/>
        </w:rPr>
        <w:t>的第三方机构设立评价认定办公室（以下简称“办公室”）</w:t>
      </w:r>
      <w:r>
        <w:rPr>
          <w:rFonts w:hint="eastAsia" w:hAnsi="宋体"/>
          <w:color w:val="auto"/>
          <w:szCs w:val="22"/>
          <w:highlight w:val="none"/>
          <w:lang w:eastAsia="zh-CN"/>
        </w:rPr>
        <w:t>，</w:t>
      </w:r>
      <w:r>
        <w:rPr>
          <w:rFonts w:hint="eastAsia" w:hAnsi="宋体"/>
          <w:color w:val="auto"/>
          <w:szCs w:val="22"/>
          <w:highlight w:val="none"/>
          <w:lang w:val="en-US" w:eastAsia="zh-CN"/>
        </w:rPr>
        <w:t>负责</w:t>
      </w:r>
      <w:r>
        <w:rPr>
          <w:rFonts w:hint="eastAsia" w:hAnsi="宋体"/>
          <w:color w:val="auto"/>
          <w:szCs w:val="22"/>
          <w:highlight w:val="none"/>
          <w:lang w:eastAsia="zh-CN"/>
        </w:rPr>
        <w:t>整个评价认定工作的具体实施与日常</w:t>
      </w:r>
      <w:r>
        <w:rPr>
          <w:rFonts w:hint="eastAsia" w:hAnsi="宋体"/>
          <w:color w:val="auto"/>
          <w:szCs w:val="22"/>
          <w:highlight w:val="none"/>
          <w:lang w:val="en-US" w:eastAsia="zh-CN"/>
        </w:rPr>
        <w:t>工作</w:t>
      </w:r>
      <w:r>
        <w:rPr>
          <w:rFonts w:hint="eastAsia" w:hAnsi="宋体"/>
          <w:color w:val="auto"/>
          <w:szCs w:val="22"/>
          <w:highlight w:val="none"/>
          <w:lang w:eastAsia="zh-CN"/>
        </w:rPr>
        <w:t>。</w:t>
      </w:r>
    </w:p>
    <w:p w14:paraId="09622E4C">
      <w:pPr>
        <w:pStyle w:val="26"/>
        <w:autoSpaceDE/>
        <w:autoSpaceDN/>
        <w:rPr>
          <w:rFonts w:hAnsi="宋体"/>
          <w:color w:val="auto"/>
          <w:szCs w:val="22"/>
          <w:highlight w:val="none"/>
        </w:rPr>
      </w:pPr>
      <w:r>
        <w:rPr>
          <w:rFonts w:hint="eastAsia" w:hAnsi="宋体"/>
          <w:color w:val="auto"/>
          <w:szCs w:val="22"/>
          <w:highlight w:val="none"/>
        </w:rPr>
        <w:t>广东商标协会秘书处负责处理</w:t>
      </w:r>
      <w:r>
        <w:rPr>
          <w:rFonts w:hint="eastAsia" w:hAnsi="宋体"/>
          <w:color w:val="auto"/>
          <w:szCs w:val="22"/>
          <w:highlight w:val="none"/>
          <w:lang w:val="en-US" w:eastAsia="zh-CN"/>
        </w:rPr>
        <w:t>字保委的协调和对办公室的监督管理</w:t>
      </w:r>
      <w:r>
        <w:rPr>
          <w:rFonts w:hint="eastAsia" w:hAnsi="宋体"/>
          <w:color w:val="auto"/>
          <w:szCs w:val="22"/>
          <w:highlight w:val="none"/>
        </w:rPr>
        <w:t>工作。</w:t>
      </w:r>
    </w:p>
    <w:p w14:paraId="1C8032D7">
      <w:pPr>
        <w:pStyle w:val="26"/>
        <w:autoSpaceDE/>
        <w:autoSpaceDN/>
        <w:rPr>
          <w:rFonts w:hint="eastAsia" w:hAnsi="宋体"/>
          <w:color w:val="auto"/>
          <w:szCs w:val="22"/>
          <w:highlight w:val="none"/>
        </w:rPr>
      </w:pPr>
      <w:r>
        <w:rPr>
          <w:rFonts w:hint="eastAsia" w:hAnsi="宋体"/>
          <w:color w:val="auto"/>
          <w:szCs w:val="22"/>
          <w:highlight w:val="none"/>
        </w:rPr>
        <w:t>“字保委”委员由省级行业协会、专业协会及市（区）商标协会会长或秘书长</w:t>
      </w:r>
      <w:r>
        <w:rPr>
          <w:rFonts w:hint="eastAsia" w:hAnsi="宋体"/>
          <w:color w:val="auto"/>
          <w:szCs w:val="22"/>
          <w:highlight w:val="none"/>
          <w:lang w:eastAsia="zh-CN"/>
        </w:rPr>
        <w:t>、</w:t>
      </w:r>
      <w:r>
        <w:rPr>
          <w:rFonts w:hint="eastAsia" w:hAnsi="宋体"/>
          <w:color w:val="auto"/>
          <w:szCs w:val="22"/>
          <w:highlight w:val="none"/>
        </w:rPr>
        <w:t>大专院校知识产权学者及商标法律专家等相关专业人士组成。委员人数为单数，不少于25人。</w:t>
      </w:r>
    </w:p>
    <w:p w14:paraId="0806E058">
      <w:pPr>
        <w:pStyle w:val="82"/>
        <w:adjustRightInd w:val="0"/>
        <w:snapToGrid w:val="0"/>
        <w:spacing w:before="0" w:beforeLines="0" w:after="0" w:afterLines="0"/>
        <w:ind w:left="0" w:firstLine="0"/>
        <w:outlineLvl w:val="9"/>
        <w:rPr>
          <w:rFonts w:hint="eastAsia" w:ascii="Times New Roman"/>
          <w:color w:val="auto"/>
          <w:highlight w:val="none"/>
        </w:rPr>
      </w:pPr>
    </w:p>
    <w:p w14:paraId="0C786A1D">
      <w:pPr>
        <w:pStyle w:val="82"/>
        <w:numPr>
          <w:ilvl w:val="1"/>
          <w:numId w:val="0"/>
        </w:numPr>
        <w:adjustRightInd w:val="0"/>
        <w:snapToGrid w:val="0"/>
        <w:spacing w:before="0" w:beforeLines="0" w:after="0" w:afterLines="0"/>
        <w:ind w:leftChars="0" w:firstLine="420" w:firstLineChars="200"/>
        <w:outlineLvl w:val="9"/>
        <w:rPr>
          <w:rFonts w:hint="eastAsia" w:ascii="Times New Roman"/>
          <w:color w:val="auto"/>
          <w:highlight w:val="none"/>
        </w:rPr>
      </w:pPr>
      <w:r>
        <w:rPr>
          <w:rFonts w:hint="eastAsia" w:ascii="Times New Roman"/>
          <w:color w:val="auto"/>
          <w:highlight w:val="none"/>
          <w:lang w:val="en-US" w:eastAsia="zh-CN"/>
        </w:rPr>
        <w:t>专家库</w:t>
      </w:r>
    </w:p>
    <w:p w14:paraId="351FCE03">
      <w:pPr>
        <w:pStyle w:val="26"/>
        <w:autoSpaceDE/>
        <w:autoSpaceDN/>
        <w:ind w:left="0" w:leftChars="0" w:firstLine="420" w:firstLineChars="200"/>
        <w:rPr>
          <w:rFonts w:hint="eastAsia" w:hAnsi="宋体"/>
          <w:color w:val="auto"/>
          <w:szCs w:val="22"/>
          <w:highlight w:val="none"/>
          <w:lang w:val="en-US" w:eastAsia="zh-CN"/>
        </w:rPr>
      </w:pPr>
      <w:r>
        <w:rPr>
          <w:rFonts w:hint="eastAsia" w:hAnsi="宋体"/>
          <w:color w:val="auto"/>
          <w:szCs w:val="22"/>
          <w:highlight w:val="none"/>
          <w:lang w:val="en-US" w:eastAsia="zh-CN"/>
        </w:rPr>
        <w:t>知名字号评审专家库由相关行业协会专家、大专院校知识产权学者及商标法律专家、律师等相关专业人士组成，由字保委日常工作机构向社会公开征集遴选。知名字号评审专家库实行动态管理，对于不能正常履职、存在严重违法违规或不适宜继续履职的专家进行除名。</w:t>
      </w:r>
    </w:p>
    <w:p w14:paraId="7EEA163F">
      <w:pPr>
        <w:pStyle w:val="26"/>
        <w:autoSpaceDE/>
        <w:autoSpaceDN/>
        <w:ind w:left="0" w:leftChars="0" w:firstLine="420" w:firstLineChars="200"/>
        <w:rPr>
          <w:rFonts w:hint="eastAsia" w:hAnsi="宋体"/>
          <w:color w:val="auto"/>
          <w:szCs w:val="22"/>
          <w:highlight w:val="none"/>
          <w:lang w:val="en-US" w:eastAsia="zh-CN"/>
        </w:rPr>
      </w:pPr>
      <w:r>
        <w:rPr>
          <w:rFonts w:hint="eastAsia" w:hAnsi="宋体"/>
          <w:color w:val="auto"/>
          <w:szCs w:val="22"/>
          <w:highlight w:val="none"/>
          <w:lang w:val="en-US" w:eastAsia="zh-CN"/>
        </w:rPr>
        <w:t>知名字号评审专家库成员应具备以下条件：</w:t>
      </w:r>
    </w:p>
    <w:p w14:paraId="2FF2E22E">
      <w:pPr>
        <w:pStyle w:val="26"/>
        <w:numPr>
          <w:ilvl w:val="0"/>
          <w:numId w:val="10"/>
        </w:numPr>
        <w:autoSpaceDE/>
        <w:autoSpaceDN/>
        <w:ind w:left="0" w:leftChars="0" w:firstLine="420" w:firstLineChars="200"/>
        <w:rPr>
          <w:rFonts w:hint="eastAsia" w:hAnsi="宋体"/>
          <w:color w:val="auto"/>
          <w:szCs w:val="22"/>
          <w:highlight w:val="none"/>
          <w:lang w:val="en-US" w:eastAsia="zh-CN"/>
        </w:rPr>
      </w:pPr>
      <w:r>
        <w:rPr>
          <w:rFonts w:hint="eastAsia" w:hAnsi="宋体"/>
          <w:color w:val="auto"/>
          <w:szCs w:val="22"/>
          <w:highlight w:val="none"/>
          <w:lang w:val="en-US" w:eastAsia="zh-CN"/>
        </w:rPr>
        <w:t>熟悉企业字号管理和保护方面的法律法规和规定；</w:t>
      </w:r>
    </w:p>
    <w:p w14:paraId="311659AA">
      <w:pPr>
        <w:pStyle w:val="26"/>
        <w:numPr>
          <w:ilvl w:val="0"/>
          <w:numId w:val="10"/>
        </w:numPr>
        <w:autoSpaceDE/>
        <w:autoSpaceDN/>
        <w:ind w:left="0" w:leftChars="0" w:firstLine="420" w:firstLineChars="200"/>
        <w:rPr>
          <w:rFonts w:hint="eastAsia" w:hAnsi="宋体"/>
          <w:color w:val="auto"/>
          <w:szCs w:val="22"/>
          <w:highlight w:val="none"/>
          <w:lang w:val="en-US" w:eastAsia="zh-CN"/>
        </w:rPr>
      </w:pPr>
      <w:r>
        <w:rPr>
          <w:rFonts w:hint="eastAsia" w:hAnsi="宋体"/>
          <w:color w:val="auto"/>
          <w:szCs w:val="22"/>
          <w:highlight w:val="none"/>
          <w:lang w:val="en-US" w:eastAsia="zh-CN"/>
        </w:rPr>
        <w:t>实践经验丰富，了解企业情况，有较高的业务水平和工作能力；</w:t>
      </w:r>
    </w:p>
    <w:p w14:paraId="3C343B24">
      <w:pPr>
        <w:pStyle w:val="26"/>
        <w:numPr>
          <w:ilvl w:val="0"/>
          <w:numId w:val="10"/>
        </w:numPr>
        <w:autoSpaceDE/>
        <w:autoSpaceDN/>
        <w:ind w:left="0" w:leftChars="0" w:firstLine="420" w:firstLineChars="200"/>
        <w:rPr>
          <w:rFonts w:hint="default" w:hAnsi="宋体" w:eastAsia="宋体"/>
          <w:color w:val="auto"/>
          <w:szCs w:val="22"/>
          <w:highlight w:val="none"/>
          <w:lang w:val="en-US" w:eastAsia="zh-CN"/>
        </w:rPr>
      </w:pPr>
      <w:r>
        <w:rPr>
          <w:rFonts w:hint="eastAsia" w:hAnsi="宋体"/>
          <w:color w:val="auto"/>
          <w:szCs w:val="22"/>
          <w:highlight w:val="none"/>
          <w:lang w:val="en-US" w:eastAsia="zh-CN"/>
        </w:rPr>
        <w:t>能够认真、公正、诚实、廉洁地履行职责；</w:t>
      </w:r>
    </w:p>
    <w:p w14:paraId="01BD0345">
      <w:pPr>
        <w:pStyle w:val="26"/>
        <w:numPr>
          <w:ilvl w:val="0"/>
          <w:numId w:val="10"/>
        </w:numPr>
        <w:autoSpaceDE/>
        <w:autoSpaceDN/>
        <w:ind w:left="0" w:leftChars="0" w:firstLine="420" w:firstLineChars="200"/>
        <w:rPr>
          <w:rFonts w:hint="default" w:hAnsi="宋体" w:eastAsia="宋体"/>
          <w:color w:val="auto"/>
          <w:szCs w:val="22"/>
          <w:highlight w:val="none"/>
          <w:lang w:val="en-US" w:eastAsia="zh-CN"/>
        </w:rPr>
      </w:pPr>
      <w:r>
        <w:rPr>
          <w:rFonts w:hint="eastAsia" w:hAnsi="宋体"/>
          <w:color w:val="auto"/>
          <w:szCs w:val="22"/>
          <w:highlight w:val="none"/>
          <w:lang w:val="en-US" w:eastAsia="zh-CN"/>
        </w:rPr>
        <w:t>其他应具备的条件。</w:t>
      </w:r>
    </w:p>
    <w:p w14:paraId="446EE012">
      <w:pPr>
        <w:pStyle w:val="109"/>
        <w:ind w:left="420" w:hanging="420" w:hangingChars="200"/>
        <w:outlineLvl w:val="0"/>
        <w:rPr>
          <w:color w:val="auto"/>
          <w:szCs w:val="22"/>
          <w:highlight w:val="none"/>
        </w:rPr>
      </w:pPr>
      <w:bookmarkStart w:id="105" w:name="_Toc21364"/>
      <w:bookmarkStart w:id="106" w:name="_Toc18264"/>
      <w:bookmarkStart w:id="107" w:name="_Toc7421"/>
      <w:bookmarkStart w:id="108" w:name="_Toc25167"/>
      <w:bookmarkStart w:id="109" w:name="_Toc11284"/>
      <w:r>
        <w:rPr>
          <w:rFonts w:hint="eastAsia"/>
          <w:color w:val="auto"/>
          <w:szCs w:val="22"/>
          <w:highlight w:val="none"/>
        </w:rPr>
        <w:t>评价原则</w:t>
      </w:r>
    </w:p>
    <w:p w14:paraId="0F61B3C2">
      <w:pPr>
        <w:pStyle w:val="26"/>
        <w:rPr>
          <w:rFonts w:hint="eastAsia"/>
          <w:color w:val="auto"/>
          <w:highlight w:val="none"/>
        </w:rPr>
      </w:pPr>
      <w:r>
        <w:rPr>
          <w:rFonts w:hint="eastAsia"/>
          <w:color w:val="auto"/>
          <w:highlight w:val="none"/>
        </w:rPr>
        <w:t>广东省知名字号的评价，应遵循以下原则：</w:t>
      </w:r>
    </w:p>
    <w:p w14:paraId="2AE0E970">
      <w:pPr>
        <w:pStyle w:val="26"/>
        <w:numPr>
          <w:ilvl w:val="0"/>
          <w:numId w:val="11"/>
        </w:numPr>
        <w:tabs>
          <w:tab w:val="clear" w:pos="4201"/>
          <w:tab w:val="clear" w:pos="9298"/>
        </w:tabs>
        <w:autoSpaceDE/>
        <w:autoSpaceDN/>
        <w:ind w:left="777" w:hanging="357" w:firstLineChars="0"/>
        <w:rPr>
          <w:rFonts w:hint="eastAsia" w:hAnsi="宋体"/>
          <w:color w:val="auto"/>
          <w:szCs w:val="22"/>
          <w:highlight w:val="none"/>
        </w:rPr>
      </w:pPr>
      <w:r>
        <w:rPr>
          <w:rFonts w:hint="eastAsia" w:hAnsi="宋体"/>
          <w:color w:val="auto"/>
          <w:szCs w:val="22"/>
          <w:highlight w:val="none"/>
        </w:rPr>
        <w:t>自愿申请原则： 企业根据自身意愿自愿申请</w:t>
      </w:r>
      <w:r>
        <w:rPr>
          <w:rFonts w:hint="eastAsia" w:hAnsi="宋体"/>
          <w:color w:val="auto"/>
          <w:szCs w:val="22"/>
          <w:highlight w:val="none"/>
          <w:lang w:val="en-US" w:eastAsia="zh-CN"/>
        </w:rPr>
        <w:t>广东省知名字号</w:t>
      </w:r>
      <w:r>
        <w:rPr>
          <w:rFonts w:hint="eastAsia" w:hAnsi="宋体"/>
          <w:color w:val="auto"/>
          <w:szCs w:val="22"/>
          <w:highlight w:val="none"/>
        </w:rPr>
        <w:t>；</w:t>
      </w:r>
    </w:p>
    <w:p w14:paraId="619F134B">
      <w:pPr>
        <w:pStyle w:val="26"/>
        <w:numPr>
          <w:ilvl w:val="0"/>
          <w:numId w:val="11"/>
        </w:numPr>
        <w:tabs>
          <w:tab w:val="clear" w:pos="4201"/>
          <w:tab w:val="clear" w:pos="9298"/>
        </w:tabs>
        <w:autoSpaceDE/>
        <w:autoSpaceDN/>
        <w:ind w:left="777" w:hanging="357" w:firstLineChars="0"/>
        <w:rPr>
          <w:rFonts w:hint="eastAsia" w:hAnsi="宋体"/>
          <w:color w:val="auto"/>
          <w:szCs w:val="22"/>
          <w:highlight w:val="none"/>
        </w:rPr>
      </w:pPr>
      <w:r>
        <w:rPr>
          <w:rFonts w:hint="eastAsia" w:hAnsi="宋体"/>
          <w:color w:val="auto"/>
          <w:szCs w:val="22"/>
          <w:highlight w:val="none"/>
        </w:rPr>
        <w:t>客观公正原则：评价过程和标准公开透明，评价结果客观公正；</w:t>
      </w:r>
    </w:p>
    <w:p w14:paraId="05217C62">
      <w:pPr>
        <w:pStyle w:val="26"/>
        <w:numPr>
          <w:ilvl w:val="0"/>
          <w:numId w:val="11"/>
        </w:numPr>
        <w:tabs>
          <w:tab w:val="clear" w:pos="4201"/>
          <w:tab w:val="clear" w:pos="9298"/>
        </w:tabs>
        <w:autoSpaceDE/>
        <w:autoSpaceDN/>
        <w:ind w:left="777" w:hanging="357" w:firstLineChars="0"/>
        <w:rPr>
          <w:rFonts w:hint="eastAsia" w:hAnsi="宋体"/>
          <w:color w:val="auto"/>
          <w:szCs w:val="22"/>
          <w:highlight w:val="none"/>
        </w:rPr>
      </w:pPr>
      <w:r>
        <w:rPr>
          <w:rFonts w:hint="eastAsia" w:hAnsi="宋体"/>
          <w:color w:val="auto"/>
          <w:szCs w:val="22"/>
          <w:highlight w:val="none"/>
        </w:rPr>
        <w:t>科学规范原则：评价指标体系科学合理，评价程序规范严谨；</w:t>
      </w:r>
    </w:p>
    <w:p w14:paraId="1D163230">
      <w:pPr>
        <w:pStyle w:val="26"/>
        <w:numPr>
          <w:ilvl w:val="0"/>
          <w:numId w:val="11"/>
        </w:numPr>
        <w:tabs>
          <w:tab w:val="clear" w:pos="4201"/>
          <w:tab w:val="clear" w:pos="9298"/>
        </w:tabs>
        <w:autoSpaceDE/>
        <w:autoSpaceDN/>
        <w:ind w:left="777" w:hanging="357" w:firstLineChars="0"/>
        <w:rPr>
          <w:rFonts w:hint="eastAsia" w:hAnsi="宋体"/>
          <w:color w:val="auto"/>
          <w:szCs w:val="22"/>
          <w:highlight w:val="none"/>
        </w:rPr>
      </w:pPr>
      <w:r>
        <w:rPr>
          <w:rFonts w:hint="eastAsia" w:hAnsi="宋体"/>
          <w:color w:val="auto"/>
          <w:szCs w:val="22"/>
          <w:highlight w:val="none"/>
        </w:rPr>
        <w:t>动态管理原则：对知名字号实施动态管理，确保</w:t>
      </w:r>
      <w:r>
        <w:rPr>
          <w:rFonts w:hint="eastAsia" w:hAnsi="宋体"/>
          <w:color w:val="auto"/>
          <w:szCs w:val="22"/>
          <w:highlight w:val="none"/>
          <w:lang w:val="en-US" w:eastAsia="zh-CN"/>
        </w:rPr>
        <w:t>知名字号</w:t>
      </w:r>
      <w:r>
        <w:rPr>
          <w:rFonts w:hint="eastAsia" w:hAnsi="宋体"/>
          <w:color w:val="auto"/>
          <w:szCs w:val="22"/>
          <w:highlight w:val="none"/>
        </w:rPr>
        <w:t>的时效性和权威性。</w:t>
      </w:r>
    </w:p>
    <w:p w14:paraId="7A5CEC16">
      <w:pPr>
        <w:pStyle w:val="109"/>
        <w:ind w:left="420" w:hanging="420" w:hangingChars="200"/>
        <w:outlineLvl w:val="0"/>
        <w:rPr>
          <w:color w:val="auto"/>
          <w:szCs w:val="22"/>
          <w:highlight w:val="none"/>
        </w:rPr>
      </w:pPr>
      <w:r>
        <w:rPr>
          <w:rFonts w:hint="eastAsia"/>
          <w:color w:val="auto"/>
          <w:szCs w:val="22"/>
          <w:highlight w:val="none"/>
          <w:lang w:val="en-US" w:eastAsia="zh-CN"/>
        </w:rPr>
        <w:t>评价</w:t>
      </w:r>
      <w:r>
        <w:rPr>
          <w:rFonts w:hint="eastAsia"/>
          <w:color w:val="auto"/>
          <w:szCs w:val="22"/>
          <w:highlight w:val="none"/>
        </w:rPr>
        <w:t>申请</w:t>
      </w:r>
      <w:bookmarkEnd w:id="105"/>
      <w:bookmarkEnd w:id="106"/>
      <w:bookmarkEnd w:id="107"/>
      <w:bookmarkEnd w:id="108"/>
      <w:bookmarkEnd w:id="109"/>
    </w:p>
    <w:p w14:paraId="0ED131AE">
      <w:pPr>
        <w:pStyle w:val="82"/>
        <w:ind w:left="0" w:firstLine="0"/>
        <w:outlineLvl w:val="1"/>
        <w:rPr>
          <w:rFonts w:hint="eastAsia" w:hAnsi="黑体"/>
          <w:color w:val="auto"/>
          <w:highlight w:val="none"/>
        </w:rPr>
      </w:pPr>
      <w:r>
        <w:rPr>
          <w:rFonts w:hint="eastAsia" w:hAnsi="黑体"/>
          <w:color w:val="auto"/>
          <w:highlight w:val="none"/>
        </w:rPr>
        <w:t xml:space="preserve"> </w:t>
      </w:r>
      <w:bookmarkStart w:id="110" w:name="_Toc4190"/>
      <w:bookmarkStart w:id="111" w:name="_Toc3494"/>
      <w:bookmarkStart w:id="112" w:name="_Toc978"/>
      <w:bookmarkStart w:id="113" w:name="_Toc29750"/>
      <w:r>
        <w:rPr>
          <w:rFonts w:hint="eastAsia" w:hAnsi="黑体"/>
          <w:color w:val="auto"/>
          <w:highlight w:val="none"/>
        </w:rPr>
        <w:t>申请条件</w:t>
      </w:r>
      <w:bookmarkEnd w:id="110"/>
      <w:bookmarkEnd w:id="111"/>
      <w:bookmarkEnd w:id="112"/>
      <w:bookmarkEnd w:id="113"/>
    </w:p>
    <w:p w14:paraId="5825E9E5">
      <w:pPr>
        <w:pStyle w:val="82"/>
        <w:numPr>
          <w:ilvl w:val="2"/>
          <w:numId w:val="6"/>
        </w:numPr>
        <w:spacing w:before="0" w:beforeLines="0" w:after="0" w:afterLines="0"/>
        <w:ind w:left="0" w:firstLine="0"/>
        <w:rPr>
          <w:rFonts w:hint="eastAsia" w:ascii="宋体" w:hAnsi="宋体" w:eastAsia="宋体"/>
          <w:color w:val="auto"/>
          <w:szCs w:val="22"/>
          <w:highlight w:val="none"/>
        </w:rPr>
      </w:pPr>
      <w:r>
        <w:rPr>
          <w:rFonts w:hint="eastAsia" w:ascii="宋体" w:hAnsi="宋体" w:eastAsia="宋体"/>
          <w:color w:val="auto"/>
          <w:szCs w:val="22"/>
          <w:highlight w:val="none"/>
        </w:rPr>
        <w:t>符合下列条件之一且</w:t>
      </w:r>
      <w:r>
        <w:rPr>
          <w:rFonts w:hint="eastAsia" w:ascii="宋体" w:hAnsi="宋体" w:eastAsia="宋体"/>
          <w:color w:val="auto"/>
          <w:szCs w:val="22"/>
          <w:highlight w:val="none"/>
          <w:lang w:val="en-US" w:eastAsia="zh-CN"/>
        </w:rPr>
        <w:t>连续</w:t>
      </w:r>
      <w:r>
        <w:rPr>
          <w:rFonts w:hint="eastAsia" w:ascii="宋体" w:hAnsi="宋体" w:eastAsia="宋体"/>
          <w:color w:val="auto"/>
          <w:szCs w:val="22"/>
          <w:highlight w:val="none"/>
        </w:rPr>
        <w:t>三年以上处于使用状态的企业字号，可申请</w:t>
      </w:r>
      <w:r>
        <w:rPr>
          <w:rFonts w:hint="eastAsia" w:ascii="宋体" w:hAnsi="宋体" w:eastAsia="宋体"/>
          <w:color w:val="auto"/>
          <w:szCs w:val="22"/>
          <w:highlight w:val="none"/>
          <w:lang w:val="en-US" w:eastAsia="zh-CN"/>
        </w:rPr>
        <w:t>广东省知名字号</w:t>
      </w:r>
      <w:r>
        <w:rPr>
          <w:rFonts w:hint="eastAsia" w:ascii="宋体" w:hAnsi="宋体" w:eastAsia="宋体"/>
          <w:color w:val="auto"/>
          <w:szCs w:val="22"/>
          <w:highlight w:val="none"/>
        </w:rPr>
        <w:t>。</w:t>
      </w:r>
    </w:p>
    <w:p w14:paraId="6A32BA89">
      <w:pPr>
        <w:pStyle w:val="26"/>
        <w:numPr>
          <w:ilvl w:val="0"/>
          <w:numId w:val="12"/>
        </w:numPr>
        <w:tabs>
          <w:tab w:val="clear" w:pos="4201"/>
          <w:tab w:val="clear" w:pos="9298"/>
        </w:tabs>
        <w:autoSpaceDE/>
        <w:autoSpaceDN/>
        <w:ind w:firstLineChars="0"/>
        <w:rPr>
          <w:rFonts w:hAnsi="宋体"/>
          <w:color w:val="auto"/>
          <w:szCs w:val="22"/>
          <w:highlight w:val="none"/>
        </w:rPr>
      </w:pPr>
      <w:r>
        <w:rPr>
          <w:rFonts w:hint="eastAsia"/>
          <w:color w:val="auto"/>
          <w:highlight w:val="none"/>
          <w:lang w:val="en-US" w:eastAsia="zh-CN"/>
        </w:rPr>
        <w:t>与企业驰名商标文字部分相同的企业字号</w:t>
      </w:r>
      <w:r>
        <w:rPr>
          <w:rFonts w:hint="eastAsia" w:hAnsi="宋体"/>
          <w:color w:val="auto"/>
          <w:szCs w:val="22"/>
          <w:highlight w:val="none"/>
        </w:rPr>
        <w:t>，</w:t>
      </w:r>
      <w:r>
        <w:rPr>
          <w:rFonts w:hAnsi="宋体"/>
          <w:color w:val="auto"/>
          <w:szCs w:val="22"/>
          <w:highlight w:val="none"/>
        </w:rPr>
        <w:t>包括：</w:t>
      </w:r>
    </w:p>
    <w:p w14:paraId="0A5D9025">
      <w:pPr>
        <w:pStyle w:val="26"/>
        <w:numPr>
          <w:ilvl w:val="0"/>
          <w:numId w:val="13"/>
        </w:numPr>
        <w:tabs>
          <w:tab w:val="clear" w:pos="4201"/>
          <w:tab w:val="clear" w:pos="9298"/>
        </w:tabs>
        <w:autoSpaceDE/>
        <w:autoSpaceDN/>
        <w:ind w:left="1155" w:leftChars="400" w:hanging="315" w:hangingChars="150"/>
        <w:rPr>
          <w:rFonts w:hint="eastAsia" w:hAnsi="宋体"/>
          <w:color w:val="auto"/>
          <w:szCs w:val="22"/>
          <w:highlight w:val="none"/>
        </w:rPr>
      </w:pPr>
      <w:r>
        <w:rPr>
          <w:rFonts w:hint="eastAsia" w:hAnsi="宋体"/>
          <w:color w:val="auto"/>
          <w:szCs w:val="22"/>
          <w:highlight w:val="none"/>
        </w:rPr>
        <w:t>被国家知识产权局或原国家工商行政管理总局认定的驰名商标；</w:t>
      </w:r>
    </w:p>
    <w:p w14:paraId="55A69E72">
      <w:pPr>
        <w:pStyle w:val="26"/>
        <w:numPr>
          <w:ilvl w:val="0"/>
          <w:numId w:val="13"/>
        </w:numPr>
        <w:tabs>
          <w:tab w:val="clear" w:pos="4201"/>
          <w:tab w:val="clear" w:pos="9298"/>
        </w:tabs>
        <w:autoSpaceDE/>
        <w:autoSpaceDN/>
        <w:ind w:left="1155" w:leftChars="400" w:hanging="315" w:hangingChars="150"/>
        <w:rPr>
          <w:rFonts w:hint="eastAsia" w:hAnsi="宋体"/>
          <w:color w:val="auto"/>
          <w:szCs w:val="22"/>
          <w:highlight w:val="none"/>
        </w:rPr>
      </w:pPr>
      <w:r>
        <w:rPr>
          <w:rFonts w:hint="eastAsia" w:hAnsi="宋体"/>
          <w:color w:val="auto"/>
          <w:szCs w:val="22"/>
          <w:highlight w:val="none"/>
        </w:rPr>
        <w:t>被人民法院认定的驰名商标</w:t>
      </w:r>
      <w:r>
        <w:rPr>
          <w:rFonts w:hint="eastAsia" w:hAnsi="宋体"/>
          <w:color w:val="auto"/>
          <w:szCs w:val="22"/>
          <w:highlight w:val="none"/>
          <w:lang w:eastAsia="zh-CN"/>
        </w:rPr>
        <w:t>；</w:t>
      </w:r>
    </w:p>
    <w:p w14:paraId="0C71007C">
      <w:pPr>
        <w:pStyle w:val="26"/>
        <w:numPr>
          <w:ilvl w:val="0"/>
          <w:numId w:val="12"/>
        </w:numPr>
        <w:tabs>
          <w:tab w:val="clear" w:pos="4201"/>
          <w:tab w:val="clear" w:pos="9298"/>
        </w:tabs>
        <w:autoSpaceDE/>
        <w:autoSpaceDN/>
        <w:ind w:left="777" w:hanging="357" w:firstLineChars="0"/>
        <w:rPr>
          <w:rFonts w:hAnsi="宋体"/>
          <w:color w:val="auto"/>
          <w:szCs w:val="22"/>
          <w:highlight w:val="none"/>
        </w:rPr>
      </w:pPr>
      <w:r>
        <w:rPr>
          <w:rFonts w:hint="eastAsia" w:hAnsi="宋体"/>
          <w:color w:val="auto"/>
          <w:szCs w:val="22"/>
          <w:highlight w:val="none"/>
        </w:rPr>
        <w:t>由商务部认定为“中华老字号”的企业字号；</w:t>
      </w:r>
    </w:p>
    <w:p w14:paraId="41E8EE89">
      <w:pPr>
        <w:pStyle w:val="26"/>
        <w:numPr>
          <w:ilvl w:val="0"/>
          <w:numId w:val="12"/>
        </w:numPr>
        <w:tabs>
          <w:tab w:val="clear" w:pos="4201"/>
          <w:tab w:val="clear" w:pos="9298"/>
        </w:tabs>
        <w:autoSpaceDE/>
        <w:autoSpaceDN/>
        <w:ind w:left="777" w:hanging="357" w:firstLineChars="0"/>
        <w:rPr>
          <w:rFonts w:hint="eastAsia" w:hAnsi="宋体"/>
          <w:color w:val="auto"/>
          <w:szCs w:val="22"/>
          <w:highlight w:val="none"/>
        </w:rPr>
      </w:pPr>
      <w:r>
        <w:rPr>
          <w:rFonts w:hint="eastAsia" w:hAnsi="宋体"/>
          <w:color w:val="auto"/>
          <w:szCs w:val="22"/>
          <w:highlight w:val="none"/>
        </w:rPr>
        <w:t>与广东省重点商标保护名录纳入商标文字部分相同</w:t>
      </w:r>
      <w:r>
        <w:rPr>
          <w:rFonts w:hint="eastAsia"/>
          <w:color w:val="auto"/>
          <w:highlight w:val="none"/>
          <w:lang w:val="en-US" w:eastAsia="zh-CN"/>
        </w:rPr>
        <w:t>的企业字号</w:t>
      </w:r>
      <w:r>
        <w:rPr>
          <w:rFonts w:hint="eastAsia" w:hAnsi="宋体"/>
          <w:color w:val="auto"/>
          <w:szCs w:val="22"/>
          <w:highlight w:val="none"/>
        </w:rPr>
        <w:t>；</w:t>
      </w:r>
    </w:p>
    <w:p w14:paraId="225151C3">
      <w:pPr>
        <w:pStyle w:val="26"/>
        <w:numPr>
          <w:ilvl w:val="0"/>
          <w:numId w:val="12"/>
        </w:numPr>
        <w:tabs>
          <w:tab w:val="clear" w:pos="4201"/>
          <w:tab w:val="clear" w:pos="9298"/>
        </w:tabs>
        <w:autoSpaceDE/>
        <w:autoSpaceDN/>
        <w:ind w:left="709" w:hanging="289" w:firstLineChars="0"/>
        <w:rPr>
          <w:rFonts w:hAnsi="宋体"/>
          <w:color w:val="auto"/>
          <w:szCs w:val="21"/>
          <w:highlight w:val="none"/>
        </w:rPr>
      </w:pPr>
      <w:r>
        <w:rPr>
          <w:rFonts w:hint="eastAsia"/>
          <w:color w:val="auto"/>
          <w:szCs w:val="21"/>
          <w:highlight w:val="none"/>
        </w:rPr>
        <w:t>由科技部认定的“中国独角兽企业”字号；</w:t>
      </w:r>
    </w:p>
    <w:p w14:paraId="2D488EE3">
      <w:pPr>
        <w:pStyle w:val="26"/>
        <w:numPr>
          <w:ilvl w:val="0"/>
          <w:numId w:val="12"/>
        </w:numPr>
        <w:tabs>
          <w:tab w:val="clear" w:pos="4201"/>
          <w:tab w:val="clear" w:pos="9298"/>
        </w:tabs>
        <w:autoSpaceDE/>
        <w:autoSpaceDN/>
        <w:ind w:left="709" w:hanging="289" w:firstLineChars="0"/>
        <w:rPr>
          <w:rFonts w:hAnsi="宋体"/>
          <w:color w:val="auto"/>
          <w:szCs w:val="21"/>
          <w:highlight w:val="none"/>
        </w:rPr>
      </w:pPr>
      <w:r>
        <w:rPr>
          <w:rFonts w:hint="eastAsia" w:hAnsi="宋体"/>
          <w:color w:val="auto"/>
          <w:szCs w:val="21"/>
          <w:highlight w:val="none"/>
        </w:rPr>
        <w:t>由工信部认定的“国家级制造业单项冠军”企业字号；</w:t>
      </w:r>
    </w:p>
    <w:p w14:paraId="50C90A00">
      <w:pPr>
        <w:pStyle w:val="26"/>
        <w:numPr>
          <w:ilvl w:val="0"/>
          <w:numId w:val="12"/>
        </w:numPr>
        <w:tabs>
          <w:tab w:val="clear" w:pos="4201"/>
          <w:tab w:val="clear" w:pos="9298"/>
        </w:tabs>
        <w:autoSpaceDE/>
        <w:autoSpaceDN/>
        <w:ind w:left="777" w:leftChars="0" w:hanging="357" w:firstLineChars="0"/>
        <w:rPr>
          <w:rFonts w:hint="eastAsia" w:hAnsi="宋体"/>
          <w:color w:val="auto"/>
          <w:szCs w:val="22"/>
          <w:highlight w:val="none"/>
        </w:rPr>
      </w:pPr>
      <w:r>
        <w:rPr>
          <w:rFonts w:hint="eastAsia" w:hAnsi="宋体"/>
          <w:color w:val="auto"/>
          <w:szCs w:val="22"/>
          <w:highlight w:val="none"/>
        </w:rPr>
        <w:t>被认定为广东省老字号或其他省级老字号的商标企业字号；</w:t>
      </w:r>
    </w:p>
    <w:p w14:paraId="1607CB18">
      <w:pPr>
        <w:pStyle w:val="26"/>
        <w:numPr>
          <w:ilvl w:val="0"/>
          <w:numId w:val="12"/>
        </w:numPr>
        <w:tabs>
          <w:tab w:val="clear" w:pos="4201"/>
          <w:tab w:val="clear" w:pos="9298"/>
        </w:tabs>
        <w:autoSpaceDE/>
        <w:autoSpaceDN/>
        <w:ind w:left="777" w:leftChars="0" w:hanging="357" w:firstLineChars="0"/>
        <w:rPr>
          <w:rFonts w:hint="eastAsia" w:hAnsi="宋体"/>
          <w:color w:val="auto"/>
          <w:szCs w:val="22"/>
          <w:highlight w:val="none"/>
        </w:rPr>
      </w:pPr>
      <w:r>
        <w:rPr>
          <w:rFonts w:hint="eastAsia" w:hAnsi="宋体"/>
          <w:color w:val="auto"/>
          <w:szCs w:val="22"/>
          <w:highlight w:val="none"/>
          <w:lang w:val="en-US" w:eastAsia="zh-CN"/>
        </w:rPr>
        <w:t>被认定为国家专精特新小巨人或省专精特新企业的字号；</w:t>
      </w:r>
    </w:p>
    <w:p w14:paraId="2F8A2B57">
      <w:pPr>
        <w:pStyle w:val="26"/>
        <w:numPr>
          <w:ilvl w:val="0"/>
          <w:numId w:val="12"/>
        </w:numPr>
        <w:tabs>
          <w:tab w:val="clear" w:pos="4201"/>
          <w:tab w:val="clear" w:pos="9298"/>
        </w:tabs>
        <w:autoSpaceDE/>
        <w:autoSpaceDN/>
        <w:ind w:left="777" w:leftChars="0" w:hanging="357" w:firstLineChars="0"/>
        <w:rPr>
          <w:rFonts w:hAnsi="宋体"/>
          <w:color w:val="auto"/>
          <w:szCs w:val="22"/>
          <w:highlight w:val="none"/>
        </w:rPr>
      </w:pPr>
      <w:r>
        <w:rPr>
          <w:rFonts w:hint="eastAsia" w:hAnsi="宋体"/>
          <w:color w:val="auto"/>
          <w:szCs w:val="22"/>
          <w:highlight w:val="none"/>
          <w:lang w:val="en-US" w:eastAsia="zh-CN"/>
        </w:rPr>
        <w:t>申请人</w:t>
      </w:r>
      <w:r>
        <w:rPr>
          <w:rFonts w:hint="eastAsia" w:hAnsi="宋体"/>
          <w:color w:val="auto"/>
          <w:szCs w:val="22"/>
          <w:highlight w:val="none"/>
        </w:rPr>
        <w:t>近</w:t>
      </w:r>
      <w:r>
        <w:rPr>
          <w:rFonts w:hint="eastAsia" w:hAnsi="宋体"/>
          <w:color w:val="auto"/>
          <w:szCs w:val="22"/>
          <w:highlight w:val="none"/>
          <w:lang w:val="en-US" w:eastAsia="zh-CN"/>
        </w:rPr>
        <w:t>三</w:t>
      </w:r>
      <w:r>
        <w:rPr>
          <w:rFonts w:hint="eastAsia" w:hAnsi="宋体"/>
          <w:color w:val="auto"/>
          <w:szCs w:val="22"/>
          <w:highlight w:val="none"/>
        </w:rPr>
        <w:t>年的纳税额在广东省同行业中位居前列</w:t>
      </w:r>
      <w:r>
        <w:rPr>
          <w:rFonts w:hint="eastAsia" w:hAnsi="宋体"/>
          <w:color w:val="auto"/>
          <w:szCs w:val="22"/>
          <w:highlight w:val="none"/>
          <w:lang w:eastAsia="zh-CN"/>
        </w:rPr>
        <w:t>；</w:t>
      </w:r>
    </w:p>
    <w:p w14:paraId="16156186">
      <w:pPr>
        <w:pStyle w:val="26"/>
        <w:numPr>
          <w:ilvl w:val="0"/>
          <w:numId w:val="12"/>
        </w:numPr>
        <w:tabs>
          <w:tab w:val="clear" w:pos="4201"/>
          <w:tab w:val="clear" w:pos="9298"/>
        </w:tabs>
        <w:autoSpaceDE/>
        <w:autoSpaceDN/>
        <w:ind w:left="777" w:leftChars="0" w:hanging="357" w:firstLineChars="0"/>
        <w:rPr>
          <w:rFonts w:hAnsi="宋体"/>
          <w:color w:val="auto"/>
          <w:szCs w:val="22"/>
          <w:highlight w:val="none"/>
        </w:rPr>
      </w:pPr>
      <w:r>
        <w:rPr>
          <w:rFonts w:hint="eastAsia" w:hAnsi="宋体"/>
          <w:color w:val="auto"/>
          <w:szCs w:val="22"/>
          <w:highlight w:val="none"/>
        </w:rPr>
        <w:t>字号权受到严重侵害的，包括但不限于抢注、模仿、翻译、仿冒、假冒及不正当竞争；</w:t>
      </w:r>
    </w:p>
    <w:p w14:paraId="1AB19162">
      <w:pPr>
        <w:pStyle w:val="26"/>
        <w:numPr>
          <w:ilvl w:val="0"/>
          <w:numId w:val="12"/>
        </w:numPr>
        <w:tabs>
          <w:tab w:val="clear" w:pos="4201"/>
          <w:tab w:val="clear" w:pos="9298"/>
        </w:tabs>
        <w:autoSpaceDE/>
        <w:autoSpaceDN/>
        <w:ind w:left="777" w:leftChars="0" w:hanging="357" w:firstLineChars="0"/>
        <w:rPr>
          <w:rFonts w:hAnsi="宋体"/>
          <w:color w:val="auto"/>
          <w:szCs w:val="22"/>
          <w:highlight w:val="none"/>
        </w:rPr>
      </w:pPr>
      <w:r>
        <w:rPr>
          <w:rFonts w:hint="eastAsia" w:hAnsi="宋体"/>
          <w:color w:val="auto"/>
          <w:szCs w:val="22"/>
          <w:highlight w:val="none"/>
          <w:lang w:val="en-US" w:eastAsia="zh-CN"/>
        </w:rPr>
        <w:t>申请人</w:t>
      </w:r>
      <w:r>
        <w:rPr>
          <w:rFonts w:hint="eastAsia" w:hAnsi="宋体"/>
          <w:color w:val="auto"/>
          <w:szCs w:val="22"/>
          <w:highlight w:val="none"/>
        </w:rPr>
        <w:t>产品销售（服务）</w:t>
      </w:r>
      <w:r>
        <w:rPr>
          <w:rFonts w:hint="eastAsia" w:hAnsi="宋体"/>
          <w:color w:val="auto"/>
          <w:szCs w:val="22"/>
        </w:rPr>
        <w:t>覆盖广东省不少于10个地级市或辐射不少于</w:t>
      </w:r>
      <w:r>
        <w:rPr>
          <w:rFonts w:hint="eastAsia" w:hAnsi="宋体"/>
          <w:color w:val="auto"/>
          <w:szCs w:val="22"/>
          <w:lang w:val="en-US" w:eastAsia="zh-CN"/>
        </w:rPr>
        <w:t>3</w:t>
      </w:r>
      <w:r>
        <w:rPr>
          <w:rFonts w:hint="eastAsia" w:hAnsi="宋体"/>
          <w:color w:val="auto"/>
          <w:szCs w:val="22"/>
        </w:rPr>
        <w:t>个省、自治区、直辖市</w:t>
      </w:r>
      <w:r>
        <w:rPr>
          <w:rFonts w:hint="eastAsia" w:hAnsi="宋体"/>
          <w:color w:val="auto"/>
          <w:szCs w:val="22"/>
          <w:highlight w:val="none"/>
          <w:lang w:eastAsia="zh-CN"/>
        </w:rPr>
        <w:t>。</w:t>
      </w:r>
    </w:p>
    <w:p w14:paraId="7A881B78">
      <w:pPr>
        <w:pStyle w:val="82"/>
        <w:numPr>
          <w:ilvl w:val="2"/>
          <w:numId w:val="6"/>
        </w:numPr>
        <w:spacing w:before="0" w:beforeLines="0" w:after="0" w:afterLines="0"/>
        <w:ind w:left="0" w:firstLine="0"/>
        <w:rPr>
          <w:rFonts w:ascii="宋体" w:hAnsi="宋体" w:eastAsia="宋体"/>
          <w:color w:val="auto"/>
          <w:szCs w:val="22"/>
          <w:highlight w:val="none"/>
        </w:rPr>
      </w:pPr>
      <w:r>
        <w:rPr>
          <w:rFonts w:hint="eastAsia" w:ascii="宋体" w:hAnsi="宋体" w:eastAsia="宋体"/>
          <w:color w:val="auto"/>
          <w:szCs w:val="22"/>
          <w:highlight w:val="none"/>
        </w:rPr>
        <w:t>具有下列情形之一的字号，不得</w:t>
      </w:r>
      <w:r>
        <w:rPr>
          <w:rFonts w:hint="eastAsia" w:ascii="宋体" w:hAnsi="宋体" w:eastAsia="宋体"/>
          <w:color w:val="auto"/>
          <w:szCs w:val="22"/>
          <w:highlight w:val="none"/>
          <w:lang w:val="en-US" w:eastAsia="zh-CN"/>
        </w:rPr>
        <w:t>申请知名字号</w:t>
      </w:r>
      <w:r>
        <w:rPr>
          <w:rFonts w:hint="eastAsia" w:ascii="宋体" w:hAnsi="宋体" w:eastAsia="宋体"/>
          <w:color w:val="auto"/>
          <w:szCs w:val="22"/>
          <w:highlight w:val="none"/>
        </w:rPr>
        <w:t>：</w:t>
      </w:r>
    </w:p>
    <w:p w14:paraId="56FC7844">
      <w:pPr>
        <w:pStyle w:val="26"/>
        <w:numPr>
          <w:ilvl w:val="0"/>
          <w:numId w:val="14"/>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仅由商品的通用名称、型号组成的；</w:t>
      </w:r>
    </w:p>
    <w:p w14:paraId="5956E537">
      <w:pPr>
        <w:pStyle w:val="26"/>
        <w:numPr>
          <w:ilvl w:val="0"/>
          <w:numId w:val="14"/>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直接表示商品的质量、主要原料、功能、用途、重量、数量及其他特点的；</w:t>
      </w:r>
    </w:p>
    <w:p w14:paraId="6A34101B">
      <w:pPr>
        <w:pStyle w:val="26"/>
        <w:numPr>
          <w:ilvl w:val="0"/>
          <w:numId w:val="14"/>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含有县级以上行政区划地名或者公众知晓的外国地名的</w:t>
      </w:r>
      <w:r>
        <w:rPr>
          <w:rFonts w:hint="eastAsia" w:hAnsi="宋体"/>
          <w:color w:val="auto"/>
          <w:szCs w:val="22"/>
          <w:highlight w:val="none"/>
          <w:lang w:eastAsia="zh-CN"/>
        </w:rPr>
        <w:t>（</w:t>
      </w:r>
      <w:r>
        <w:rPr>
          <w:rFonts w:hint="eastAsia" w:hAnsi="宋体"/>
          <w:color w:val="auto"/>
          <w:szCs w:val="22"/>
          <w:highlight w:val="none"/>
          <w:lang w:val="en-US" w:eastAsia="zh-CN"/>
        </w:rPr>
        <w:t>但</w:t>
      </w:r>
      <w:r>
        <w:rPr>
          <w:rFonts w:hint="eastAsia" w:hAnsi="宋体"/>
          <w:color w:val="auto"/>
          <w:szCs w:val="22"/>
          <w:highlight w:val="none"/>
        </w:rPr>
        <w:t>具有</w:t>
      </w:r>
      <w:r>
        <w:rPr>
          <w:rFonts w:hint="eastAsia" w:hAnsi="宋体"/>
          <w:color w:val="auto"/>
          <w:szCs w:val="22"/>
          <w:highlight w:val="none"/>
          <w:lang w:val="en-US" w:eastAsia="zh-CN"/>
        </w:rPr>
        <w:t>地名外的</w:t>
      </w:r>
      <w:r>
        <w:rPr>
          <w:rFonts w:hint="eastAsia" w:hAnsi="宋体"/>
          <w:color w:val="auto"/>
          <w:szCs w:val="22"/>
          <w:highlight w:val="none"/>
        </w:rPr>
        <w:t>其他含义</w:t>
      </w:r>
      <w:r>
        <w:rPr>
          <w:rFonts w:hint="eastAsia" w:hAnsi="宋体"/>
          <w:color w:val="auto"/>
          <w:szCs w:val="22"/>
          <w:highlight w:val="none"/>
          <w:lang w:val="en-US" w:eastAsia="zh-CN"/>
        </w:rPr>
        <w:t>或</w:t>
      </w:r>
      <w:r>
        <w:rPr>
          <w:rFonts w:hint="eastAsia" w:hAnsi="宋体"/>
          <w:color w:val="auto"/>
          <w:szCs w:val="22"/>
          <w:highlight w:val="none"/>
        </w:rPr>
        <w:t>已注册</w:t>
      </w:r>
      <w:r>
        <w:rPr>
          <w:rFonts w:hint="eastAsia" w:hAnsi="宋体"/>
          <w:color w:val="auto"/>
          <w:szCs w:val="22"/>
          <w:highlight w:val="none"/>
          <w:lang w:val="en-US" w:eastAsia="zh-CN"/>
        </w:rPr>
        <w:t>的地名</w:t>
      </w:r>
      <w:r>
        <w:rPr>
          <w:rFonts w:hint="eastAsia" w:hAnsi="宋体"/>
          <w:color w:val="auto"/>
          <w:szCs w:val="22"/>
          <w:highlight w:val="none"/>
        </w:rPr>
        <w:t>商标</w:t>
      </w:r>
      <w:r>
        <w:rPr>
          <w:rFonts w:hint="eastAsia" w:hAnsi="宋体"/>
          <w:color w:val="auto"/>
          <w:szCs w:val="22"/>
          <w:highlight w:val="none"/>
          <w:lang w:val="en-US" w:eastAsia="zh-CN"/>
        </w:rPr>
        <w:t>的企业字号除外</w:t>
      </w:r>
      <w:r>
        <w:rPr>
          <w:rFonts w:hint="eastAsia" w:hAnsi="宋体"/>
          <w:color w:val="auto"/>
          <w:szCs w:val="22"/>
          <w:highlight w:val="none"/>
          <w:lang w:eastAsia="zh-CN"/>
        </w:rPr>
        <w:t>）</w:t>
      </w:r>
      <w:r>
        <w:rPr>
          <w:rFonts w:hint="eastAsia"/>
          <w:color w:val="auto"/>
          <w:highlight w:val="none"/>
          <w:lang w:eastAsia="zh-CN"/>
        </w:rPr>
        <w:t>：</w:t>
      </w:r>
    </w:p>
    <w:p w14:paraId="31BC7211">
      <w:pPr>
        <w:pStyle w:val="26"/>
        <w:numPr>
          <w:ilvl w:val="0"/>
          <w:numId w:val="14"/>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带有民族歧视性、欺骗性，有害于社会主义道德风尚或者有其他不良影响的；</w:t>
      </w:r>
    </w:p>
    <w:p w14:paraId="36E8774C">
      <w:pPr>
        <w:pStyle w:val="26"/>
        <w:numPr>
          <w:ilvl w:val="0"/>
          <w:numId w:val="14"/>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与他人在先取得的合法权利（如商标权、字号权、著作权等）相冲突的；</w:t>
      </w:r>
    </w:p>
    <w:p w14:paraId="32AB496D">
      <w:pPr>
        <w:pStyle w:val="26"/>
        <w:numPr>
          <w:ilvl w:val="0"/>
          <w:numId w:val="14"/>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违反法律、行政法规禁止性规定的其他情形。</w:t>
      </w:r>
    </w:p>
    <w:p w14:paraId="4B451D1B">
      <w:pPr>
        <w:pStyle w:val="82"/>
        <w:ind w:left="0" w:firstLine="0"/>
        <w:outlineLvl w:val="1"/>
        <w:rPr>
          <w:rFonts w:hint="eastAsia" w:hAnsi="黑体"/>
          <w:color w:val="auto"/>
          <w:highlight w:val="none"/>
        </w:rPr>
      </w:pPr>
      <w:r>
        <w:rPr>
          <w:rFonts w:hint="eastAsia" w:hAnsi="黑体"/>
          <w:color w:val="auto"/>
          <w:highlight w:val="none"/>
        </w:rPr>
        <w:t xml:space="preserve"> </w:t>
      </w:r>
      <w:bookmarkStart w:id="114" w:name="_Toc24030"/>
      <w:bookmarkStart w:id="115" w:name="_Toc21499"/>
      <w:bookmarkStart w:id="116" w:name="_Toc3598"/>
      <w:bookmarkStart w:id="117" w:name="_Toc28445"/>
      <w:r>
        <w:rPr>
          <w:rFonts w:hint="eastAsia" w:hAnsi="黑体"/>
          <w:color w:val="auto"/>
          <w:highlight w:val="none"/>
        </w:rPr>
        <w:t>申报材料</w:t>
      </w:r>
      <w:bookmarkEnd w:id="114"/>
      <w:bookmarkEnd w:id="115"/>
      <w:bookmarkEnd w:id="116"/>
      <w:bookmarkEnd w:id="117"/>
    </w:p>
    <w:p w14:paraId="64A21375">
      <w:pPr>
        <w:pStyle w:val="82"/>
        <w:numPr>
          <w:ilvl w:val="2"/>
          <w:numId w:val="6"/>
        </w:numPr>
        <w:spacing w:before="0" w:beforeLines="0" w:after="0" w:afterLines="0"/>
        <w:ind w:left="0" w:firstLine="0"/>
        <w:rPr>
          <w:color w:val="auto"/>
          <w:highlight w:val="none"/>
        </w:rPr>
      </w:pPr>
      <w:r>
        <w:rPr>
          <w:rFonts w:hint="eastAsia" w:ascii="宋体" w:hAnsi="宋体" w:eastAsia="宋体" w:cs="宋体"/>
          <w:color w:val="auto"/>
          <w:highlight w:val="none"/>
        </w:rPr>
        <w:t>申请知名字号，填写申请资料并提供相关证明材料，应在“广东省知名字号申报系统”完成。申请提供的申报资料要求见表1。</w:t>
      </w:r>
    </w:p>
    <w:p w14:paraId="6B89B09B">
      <w:pPr>
        <w:pStyle w:val="26"/>
        <w:spacing w:before="156" w:beforeLines="50" w:after="156" w:afterLines="50"/>
        <w:ind w:firstLine="0" w:firstLineChars="0"/>
        <w:jc w:val="center"/>
        <w:rPr>
          <w:rFonts w:hint="eastAsia" w:ascii="黑体" w:hAnsi="黑体" w:eastAsia="黑体"/>
          <w:color w:val="auto"/>
          <w:highlight w:val="none"/>
        </w:rPr>
      </w:pPr>
      <w:r>
        <w:rPr>
          <w:rFonts w:hint="eastAsia" w:ascii="黑体" w:hAnsi="黑体" w:eastAsia="黑体"/>
          <w:color w:val="auto"/>
          <w:highlight w:val="none"/>
        </w:rPr>
        <w:t>表1  申报材</w:t>
      </w:r>
      <w:r>
        <w:rPr>
          <w:rFonts w:ascii="黑体" w:hAnsi="黑体" w:eastAsia="黑体"/>
          <w:color w:val="auto"/>
          <w:highlight w:val="none"/>
        </w:rPr>
        <w:t>料</w:t>
      </w:r>
      <w:r>
        <w:rPr>
          <w:rFonts w:hint="eastAsia" w:ascii="黑体" w:hAnsi="黑体" w:eastAsia="黑体"/>
          <w:color w:val="auto"/>
          <w:highlight w:val="none"/>
        </w:rPr>
        <w:t>说明</w:t>
      </w:r>
    </w:p>
    <w:tbl>
      <w:tblPr>
        <w:tblStyle w:val="35"/>
        <w:tblW w:w="94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83"/>
        <w:gridCol w:w="1191"/>
        <w:gridCol w:w="2182"/>
        <w:gridCol w:w="5557"/>
      </w:tblGrid>
      <w:tr w14:paraId="7B332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Align w:val="center"/>
          </w:tcPr>
          <w:p w14:paraId="3E7DA112">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序号</w:t>
            </w:r>
          </w:p>
        </w:tc>
        <w:tc>
          <w:tcPr>
            <w:tcW w:w="1191" w:type="dxa"/>
            <w:vAlign w:val="center"/>
          </w:tcPr>
          <w:p w14:paraId="058700A5">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类型</w:t>
            </w:r>
          </w:p>
        </w:tc>
        <w:tc>
          <w:tcPr>
            <w:tcW w:w="7739" w:type="dxa"/>
            <w:gridSpan w:val="2"/>
            <w:vAlign w:val="center"/>
          </w:tcPr>
          <w:p w14:paraId="7F354D5D">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申请材料明细</w:t>
            </w:r>
          </w:p>
        </w:tc>
      </w:tr>
      <w:tr w14:paraId="66FA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483" w:type="dxa"/>
            <w:vAlign w:val="center"/>
          </w:tcPr>
          <w:p w14:paraId="5D075805">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1</w:t>
            </w:r>
          </w:p>
        </w:tc>
        <w:tc>
          <w:tcPr>
            <w:tcW w:w="1191" w:type="dxa"/>
            <w:vAlign w:val="center"/>
          </w:tcPr>
          <w:p w14:paraId="6DF69F29">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通用材料</w:t>
            </w:r>
          </w:p>
        </w:tc>
        <w:tc>
          <w:tcPr>
            <w:tcW w:w="7739" w:type="dxa"/>
            <w:gridSpan w:val="2"/>
            <w:vAlign w:val="center"/>
          </w:tcPr>
          <w:p w14:paraId="3F61E77C">
            <w:pPr>
              <w:pStyle w:val="26"/>
              <w:ind w:firstLine="0" w:firstLineChars="0"/>
              <w:rPr>
                <w:rFonts w:hint="default" w:hAnsi="宋体" w:eastAsia="宋体" w:cs="宋体"/>
                <w:color w:val="auto"/>
                <w:sz w:val="18"/>
                <w:szCs w:val="18"/>
                <w:highlight w:val="none"/>
                <w:lang w:val="en-US" w:eastAsia="zh-CN"/>
              </w:rPr>
            </w:pPr>
            <w:r>
              <w:rPr>
                <w:rFonts w:hint="eastAsia" w:hAnsi="宋体" w:cs="宋体"/>
                <w:color w:val="auto"/>
                <w:sz w:val="18"/>
                <w:szCs w:val="18"/>
                <w:highlight w:val="none"/>
              </w:rPr>
              <w:t>a）</w:t>
            </w:r>
            <w:r>
              <w:rPr>
                <w:rFonts w:hint="eastAsia" w:hAnsi="宋体" w:cs="宋体"/>
                <w:color w:val="auto"/>
                <w:sz w:val="18"/>
                <w:szCs w:val="18"/>
                <w:highlight w:val="none"/>
                <w:lang w:val="en-US" w:eastAsia="zh-CN"/>
              </w:rPr>
              <w:t>申请字号确认书</w:t>
            </w:r>
          </w:p>
          <w:p w14:paraId="7F50D115">
            <w:pPr>
              <w:pStyle w:val="26"/>
              <w:ind w:firstLine="0" w:firstLineChars="0"/>
              <w:rPr>
                <w:rFonts w:hAnsi="宋体" w:cs="宋体"/>
                <w:color w:val="auto"/>
                <w:sz w:val="18"/>
                <w:szCs w:val="18"/>
                <w:highlight w:val="none"/>
              </w:rPr>
            </w:pPr>
            <w:r>
              <w:rPr>
                <w:rFonts w:hint="eastAsia" w:hAnsi="宋体" w:cs="宋体"/>
                <w:color w:val="auto"/>
                <w:sz w:val="18"/>
                <w:szCs w:val="18"/>
                <w:highlight w:val="none"/>
                <w:lang w:val="en-US" w:eastAsia="zh-CN"/>
              </w:rPr>
              <w:t>b</w:t>
            </w:r>
            <w:r>
              <w:rPr>
                <w:rFonts w:hint="eastAsia" w:hAnsi="宋体" w:cs="宋体"/>
                <w:color w:val="auto"/>
                <w:sz w:val="18"/>
                <w:szCs w:val="18"/>
                <w:highlight w:val="none"/>
              </w:rPr>
              <w:t>）大陆企业提供营业执照（加盖公章的扫描件）</w:t>
            </w:r>
          </w:p>
          <w:p w14:paraId="670274DC">
            <w:pPr>
              <w:pStyle w:val="26"/>
              <w:ind w:firstLine="0" w:firstLineChars="0"/>
              <w:rPr>
                <w:rFonts w:hAnsi="宋体" w:cs="宋体"/>
                <w:color w:val="auto"/>
                <w:sz w:val="18"/>
                <w:szCs w:val="18"/>
                <w:highlight w:val="none"/>
              </w:rPr>
            </w:pPr>
            <w:r>
              <w:rPr>
                <w:rFonts w:hint="eastAsia" w:hAnsi="宋体" w:cs="宋体"/>
                <w:color w:val="auto"/>
                <w:sz w:val="18"/>
                <w:szCs w:val="18"/>
                <w:highlight w:val="none"/>
                <w:lang w:val="en-US" w:eastAsia="zh-CN"/>
              </w:rPr>
              <w:t>c</w:t>
            </w:r>
            <w:r>
              <w:rPr>
                <w:rFonts w:hint="eastAsia" w:hAnsi="宋体" w:cs="宋体"/>
                <w:color w:val="auto"/>
                <w:sz w:val="18"/>
                <w:szCs w:val="18"/>
                <w:highlight w:val="none"/>
              </w:rPr>
              <w:t>）香港特别行政区企业提供商业登记证（加盖公章的扫描件）</w:t>
            </w:r>
          </w:p>
          <w:p w14:paraId="050BBFC7">
            <w:pPr>
              <w:pStyle w:val="26"/>
              <w:ind w:firstLine="0" w:firstLineChars="0"/>
              <w:rPr>
                <w:rFonts w:hAnsi="宋体" w:cs="宋体"/>
                <w:color w:val="auto"/>
                <w:sz w:val="18"/>
                <w:szCs w:val="18"/>
                <w:highlight w:val="none"/>
              </w:rPr>
            </w:pPr>
            <w:r>
              <w:rPr>
                <w:rFonts w:hint="eastAsia" w:hAnsi="宋体" w:cs="宋体"/>
                <w:color w:val="auto"/>
                <w:sz w:val="18"/>
                <w:szCs w:val="18"/>
                <w:highlight w:val="none"/>
                <w:lang w:val="en-US" w:eastAsia="zh-CN"/>
              </w:rPr>
              <w:t>d</w:t>
            </w:r>
            <w:r>
              <w:rPr>
                <w:rFonts w:hint="eastAsia" w:hAnsi="宋体" w:cs="宋体"/>
                <w:color w:val="auto"/>
                <w:sz w:val="18"/>
                <w:szCs w:val="18"/>
                <w:highlight w:val="none"/>
              </w:rPr>
              <w:t>）澳门特别行政区企业提供商业登记、税务登记、行业牌照（如有）</w:t>
            </w:r>
          </w:p>
          <w:p w14:paraId="3B1AE652">
            <w:pPr>
              <w:pStyle w:val="26"/>
              <w:ind w:firstLine="0" w:firstLineChars="0"/>
              <w:rPr>
                <w:rFonts w:hint="eastAsia" w:hAnsi="宋体" w:cs="宋体"/>
                <w:color w:val="auto"/>
                <w:sz w:val="18"/>
                <w:szCs w:val="18"/>
                <w:highlight w:val="none"/>
              </w:rPr>
            </w:pPr>
            <w:r>
              <w:rPr>
                <w:rFonts w:hint="eastAsia" w:hAnsi="宋体" w:cs="宋体"/>
                <w:color w:val="auto"/>
                <w:sz w:val="18"/>
                <w:szCs w:val="18"/>
                <w:highlight w:val="none"/>
                <w:lang w:val="en-US" w:eastAsia="zh-CN"/>
              </w:rPr>
              <w:t>e</w:t>
            </w:r>
            <w:r>
              <w:rPr>
                <w:rFonts w:hint="eastAsia" w:hAnsi="宋体" w:cs="宋体"/>
                <w:color w:val="auto"/>
                <w:sz w:val="18"/>
                <w:szCs w:val="18"/>
                <w:highlight w:val="none"/>
              </w:rPr>
              <w:t>）“</w:t>
            </w:r>
            <w:r>
              <w:rPr>
                <w:rFonts w:hint="eastAsia" w:hAnsi="宋体" w:cs="宋体"/>
                <w:color w:val="auto"/>
                <w:sz w:val="18"/>
                <w:szCs w:val="18"/>
                <w:highlight w:val="none"/>
                <w:lang w:val="en-US" w:eastAsia="zh-CN"/>
              </w:rPr>
              <w:t>申报材料真实有效，</w:t>
            </w:r>
            <w:r>
              <w:rPr>
                <w:rFonts w:hint="eastAsia" w:hAnsi="宋体" w:cs="宋体"/>
                <w:color w:val="auto"/>
                <w:sz w:val="18"/>
                <w:szCs w:val="18"/>
                <w:highlight w:val="none"/>
              </w:rPr>
              <w:t>企业依法经营且业绩良好，连续三年内无严重违法失信行为”承诺书（加盖公章扫描件）</w:t>
            </w:r>
          </w:p>
          <w:p w14:paraId="45475EF4">
            <w:pPr>
              <w:pStyle w:val="26"/>
              <w:ind w:firstLine="0" w:firstLineChars="0"/>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f）申报主体或关联单位在粤纳税证明</w:t>
            </w:r>
          </w:p>
        </w:tc>
      </w:tr>
      <w:tr w14:paraId="54EBC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restart"/>
            <w:vAlign w:val="center"/>
          </w:tcPr>
          <w:p w14:paraId="1F83B27E">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2</w:t>
            </w:r>
          </w:p>
        </w:tc>
        <w:tc>
          <w:tcPr>
            <w:tcW w:w="1191" w:type="dxa"/>
            <w:vMerge w:val="restart"/>
            <w:vAlign w:val="center"/>
          </w:tcPr>
          <w:p w14:paraId="5A6D75B0">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专项材料</w:t>
            </w:r>
          </w:p>
        </w:tc>
        <w:tc>
          <w:tcPr>
            <w:tcW w:w="2182" w:type="dxa"/>
            <w:vAlign w:val="center"/>
          </w:tcPr>
          <w:p w14:paraId="17D7CC5D">
            <w:pPr>
              <w:pStyle w:val="26"/>
              <w:ind w:firstLine="0" w:firstLineChars="0"/>
              <w:jc w:val="center"/>
              <w:rPr>
                <w:rFonts w:hint="eastAsia" w:hAnsi="宋体"/>
                <w:color w:val="auto"/>
                <w:sz w:val="18"/>
                <w:szCs w:val="16"/>
                <w:highlight w:val="none"/>
              </w:rPr>
            </w:pPr>
            <w:r>
              <w:rPr>
                <w:rFonts w:hint="eastAsia" w:hAnsi="宋体"/>
                <w:color w:val="auto"/>
                <w:sz w:val="18"/>
                <w:szCs w:val="16"/>
                <w:highlight w:val="none"/>
              </w:rPr>
              <w:t>驰名商标</w:t>
            </w:r>
          </w:p>
        </w:tc>
        <w:tc>
          <w:tcPr>
            <w:tcW w:w="5557" w:type="dxa"/>
            <w:vAlign w:val="center"/>
          </w:tcPr>
          <w:p w14:paraId="7BCDA811">
            <w:pPr>
              <w:pStyle w:val="26"/>
              <w:ind w:firstLine="0" w:firstLineChars="0"/>
              <w:rPr>
                <w:rFonts w:hint="eastAsia" w:hAnsi="宋体" w:eastAsia="宋体"/>
                <w:color w:val="auto"/>
                <w:sz w:val="18"/>
                <w:szCs w:val="16"/>
                <w:highlight w:val="none"/>
                <w:lang w:eastAsia="zh-CN"/>
              </w:rPr>
            </w:pPr>
            <w:r>
              <w:rPr>
                <w:rFonts w:hint="eastAsia" w:hAnsi="宋体"/>
                <w:color w:val="auto"/>
                <w:sz w:val="18"/>
                <w:szCs w:val="16"/>
                <w:highlight w:val="none"/>
              </w:rPr>
              <w:t>被认定为驰名商标的行政裁定或司法判决书</w:t>
            </w:r>
            <w:r>
              <w:rPr>
                <w:rFonts w:hint="eastAsia" w:hAnsi="宋体"/>
                <w:color w:val="auto"/>
                <w:sz w:val="18"/>
                <w:szCs w:val="16"/>
                <w:highlight w:val="none"/>
                <w:lang w:eastAsia="zh-CN"/>
              </w:rPr>
              <w:t>。</w:t>
            </w:r>
          </w:p>
        </w:tc>
      </w:tr>
      <w:tr w14:paraId="0470A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38B502B4">
            <w:pPr>
              <w:pStyle w:val="26"/>
              <w:ind w:firstLine="360"/>
              <w:jc w:val="center"/>
              <w:rPr>
                <w:rFonts w:hint="eastAsia" w:hAnsi="宋体" w:cs="宋体"/>
                <w:color w:val="auto"/>
                <w:sz w:val="18"/>
                <w:szCs w:val="18"/>
                <w:highlight w:val="none"/>
              </w:rPr>
            </w:pPr>
          </w:p>
        </w:tc>
        <w:tc>
          <w:tcPr>
            <w:tcW w:w="1191" w:type="dxa"/>
            <w:vMerge w:val="continue"/>
            <w:vAlign w:val="center"/>
          </w:tcPr>
          <w:p w14:paraId="1DF64F95">
            <w:pPr>
              <w:pStyle w:val="26"/>
              <w:ind w:firstLine="0" w:firstLineChars="0"/>
              <w:jc w:val="center"/>
              <w:rPr>
                <w:rFonts w:hint="eastAsia" w:hAnsi="宋体" w:cs="宋体"/>
                <w:color w:val="auto"/>
                <w:sz w:val="18"/>
                <w:szCs w:val="18"/>
                <w:highlight w:val="none"/>
              </w:rPr>
            </w:pPr>
          </w:p>
        </w:tc>
        <w:tc>
          <w:tcPr>
            <w:tcW w:w="2182" w:type="dxa"/>
            <w:vAlign w:val="center"/>
          </w:tcPr>
          <w:p w14:paraId="70760B79">
            <w:pPr>
              <w:pStyle w:val="26"/>
              <w:ind w:firstLine="0" w:firstLineChars="0"/>
              <w:jc w:val="center"/>
              <w:rPr>
                <w:rFonts w:hint="eastAsia" w:hAnsi="宋体" w:cs="宋体"/>
                <w:color w:val="auto"/>
                <w:sz w:val="18"/>
                <w:szCs w:val="16"/>
                <w:highlight w:val="none"/>
              </w:rPr>
            </w:pPr>
            <w:r>
              <w:rPr>
                <w:rFonts w:hint="eastAsia" w:hAnsi="宋体"/>
                <w:color w:val="auto"/>
                <w:sz w:val="18"/>
                <w:szCs w:val="16"/>
                <w:highlight w:val="none"/>
              </w:rPr>
              <w:t>中华老字号</w:t>
            </w:r>
          </w:p>
        </w:tc>
        <w:tc>
          <w:tcPr>
            <w:tcW w:w="5557" w:type="dxa"/>
            <w:vAlign w:val="center"/>
          </w:tcPr>
          <w:p w14:paraId="64FC3D3F">
            <w:pPr>
              <w:pStyle w:val="26"/>
              <w:ind w:firstLine="0" w:firstLineChars="0"/>
              <w:rPr>
                <w:rFonts w:hint="eastAsia" w:hAnsi="宋体" w:eastAsia="宋体" w:cs="宋体"/>
                <w:color w:val="auto"/>
                <w:sz w:val="18"/>
                <w:szCs w:val="16"/>
                <w:highlight w:val="none"/>
                <w:lang w:eastAsia="zh-CN"/>
              </w:rPr>
            </w:pPr>
            <w:r>
              <w:rPr>
                <w:rFonts w:hint="eastAsia" w:hAnsi="宋体"/>
                <w:color w:val="auto"/>
                <w:sz w:val="18"/>
                <w:szCs w:val="16"/>
                <w:highlight w:val="none"/>
              </w:rPr>
              <w:t>被认定为中华老字号的证书及相关公告材料</w:t>
            </w:r>
            <w:r>
              <w:rPr>
                <w:rFonts w:hint="eastAsia" w:hAnsi="宋体"/>
                <w:color w:val="auto"/>
                <w:sz w:val="18"/>
                <w:szCs w:val="16"/>
                <w:highlight w:val="none"/>
                <w:lang w:eastAsia="zh-CN"/>
              </w:rPr>
              <w:t>。</w:t>
            </w:r>
          </w:p>
        </w:tc>
      </w:tr>
      <w:tr w14:paraId="59F71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1C5FC8E2">
            <w:pPr>
              <w:pStyle w:val="26"/>
              <w:ind w:firstLine="360"/>
              <w:jc w:val="center"/>
              <w:rPr>
                <w:rFonts w:hint="eastAsia" w:hAnsi="宋体" w:cs="宋体"/>
                <w:color w:val="auto"/>
                <w:sz w:val="18"/>
                <w:szCs w:val="18"/>
                <w:highlight w:val="none"/>
              </w:rPr>
            </w:pPr>
          </w:p>
        </w:tc>
        <w:tc>
          <w:tcPr>
            <w:tcW w:w="1191" w:type="dxa"/>
            <w:vMerge w:val="continue"/>
            <w:vAlign w:val="center"/>
          </w:tcPr>
          <w:p w14:paraId="22013E41">
            <w:pPr>
              <w:pStyle w:val="26"/>
              <w:ind w:firstLine="0" w:firstLineChars="0"/>
              <w:jc w:val="center"/>
              <w:rPr>
                <w:rFonts w:hint="eastAsia" w:hAnsi="宋体" w:cs="宋体"/>
                <w:color w:val="auto"/>
                <w:sz w:val="18"/>
                <w:szCs w:val="18"/>
                <w:highlight w:val="none"/>
              </w:rPr>
            </w:pPr>
          </w:p>
        </w:tc>
        <w:tc>
          <w:tcPr>
            <w:tcW w:w="2182" w:type="dxa"/>
            <w:vAlign w:val="center"/>
          </w:tcPr>
          <w:p w14:paraId="66AAEF01">
            <w:pPr>
              <w:jc w:val="center"/>
              <w:rPr>
                <w:rFonts w:hint="eastAsia"/>
                <w:color w:val="auto"/>
                <w:sz w:val="18"/>
                <w:szCs w:val="16"/>
                <w:highlight w:val="none"/>
              </w:rPr>
            </w:pPr>
            <w:r>
              <w:rPr>
                <w:rFonts w:hint="eastAsia" w:hAnsi="宋体"/>
                <w:color w:val="auto"/>
                <w:sz w:val="18"/>
                <w:szCs w:val="16"/>
                <w:highlight w:val="none"/>
              </w:rPr>
              <w:t>广东省重点商标保护名录</w:t>
            </w:r>
          </w:p>
        </w:tc>
        <w:tc>
          <w:tcPr>
            <w:tcW w:w="5557" w:type="dxa"/>
            <w:vAlign w:val="center"/>
          </w:tcPr>
          <w:p w14:paraId="212C6DE5">
            <w:pPr>
              <w:pStyle w:val="26"/>
              <w:ind w:firstLine="0" w:firstLineChars="0"/>
              <w:rPr>
                <w:rFonts w:hint="eastAsia" w:hAnsi="宋体" w:eastAsia="宋体" w:cs="宋体"/>
                <w:color w:val="auto"/>
                <w:sz w:val="18"/>
                <w:szCs w:val="16"/>
                <w:highlight w:val="none"/>
                <w:lang w:eastAsia="zh-CN"/>
              </w:rPr>
            </w:pPr>
            <w:r>
              <w:rPr>
                <w:rFonts w:hint="eastAsia" w:hAnsi="宋体"/>
                <w:color w:val="auto"/>
                <w:sz w:val="18"/>
                <w:szCs w:val="16"/>
                <w:highlight w:val="none"/>
              </w:rPr>
              <w:t>广东省重点商标保护名录纳入证明</w:t>
            </w:r>
            <w:r>
              <w:rPr>
                <w:rFonts w:hint="eastAsia" w:hAnsi="宋体"/>
                <w:color w:val="auto"/>
                <w:sz w:val="18"/>
                <w:szCs w:val="16"/>
                <w:highlight w:val="none"/>
                <w:lang w:eastAsia="zh-CN"/>
              </w:rPr>
              <w:t>。</w:t>
            </w:r>
          </w:p>
        </w:tc>
      </w:tr>
      <w:tr w14:paraId="40FA4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56EB15F1">
            <w:pPr>
              <w:pStyle w:val="26"/>
              <w:ind w:firstLine="360"/>
              <w:jc w:val="center"/>
              <w:rPr>
                <w:rFonts w:hint="eastAsia" w:hAnsi="宋体" w:cs="宋体"/>
                <w:color w:val="auto"/>
                <w:sz w:val="18"/>
                <w:szCs w:val="18"/>
                <w:highlight w:val="none"/>
              </w:rPr>
            </w:pPr>
          </w:p>
        </w:tc>
        <w:tc>
          <w:tcPr>
            <w:tcW w:w="1191" w:type="dxa"/>
            <w:vMerge w:val="continue"/>
            <w:vAlign w:val="center"/>
          </w:tcPr>
          <w:p w14:paraId="772D8255">
            <w:pPr>
              <w:pStyle w:val="26"/>
              <w:ind w:firstLine="0" w:firstLineChars="0"/>
              <w:jc w:val="center"/>
              <w:rPr>
                <w:rFonts w:hint="eastAsia" w:hAnsi="宋体" w:cs="宋体"/>
                <w:color w:val="auto"/>
                <w:sz w:val="18"/>
                <w:szCs w:val="18"/>
                <w:highlight w:val="none"/>
              </w:rPr>
            </w:pPr>
          </w:p>
        </w:tc>
        <w:tc>
          <w:tcPr>
            <w:tcW w:w="2182" w:type="dxa"/>
            <w:vAlign w:val="center"/>
          </w:tcPr>
          <w:p w14:paraId="14D97D0E">
            <w:pPr>
              <w:pStyle w:val="26"/>
              <w:ind w:firstLine="0" w:firstLineChars="0"/>
              <w:jc w:val="center"/>
              <w:rPr>
                <w:rFonts w:hint="eastAsia" w:hAnsi="宋体" w:cs="宋体"/>
                <w:color w:val="auto"/>
                <w:sz w:val="18"/>
                <w:szCs w:val="16"/>
                <w:highlight w:val="none"/>
              </w:rPr>
            </w:pPr>
            <w:r>
              <w:rPr>
                <w:rFonts w:hint="eastAsia" w:hAnsi="宋体"/>
                <w:color w:val="auto"/>
                <w:sz w:val="18"/>
                <w:szCs w:val="16"/>
                <w:highlight w:val="none"/>
              </w:rPr>
              <w:t>中国独角兽企业</w:t>
            </w:r>
          </w:p>
        </w:tc>
        <w:tc>
          <w:tcPr>
            <w:tcW w:w="5557" w:type="dxa"/>
            <w:vAlign w:val="center"/>
          </w:tcPr>
          <w:p w14:paraId="39C27D2C">
            <w:pPr>
              <w:pStyle w:val="26"/>
              <w:ind w:firstLine="0" w:firstLineChars="0"/>
              <w:rPr>
                <w:rFonts w:hint="eastAsia" w:hAnsi="宋体" w:eastAsia="宋体" w:cs="宋体"/>
                <w:color w:val="auto"/>
                <w:sz w:val="18"/>
                <w:szCs w:val="16"/>
                <w:highlight w:val="none"/>
                <w:lang w:eastAsia="zh-CN"/>
              </w:rPr>
            </w:pPr>
            <w:r>
              <w:rPr>
                <w:rFonts w:hint="eastAsia" w:hAnsi="宋体"/>
                <w:color w:val="auto"/>
                <w:sz w:val="18"/>
                <w:szCs w:val="16"/>
                <w:highlight w:val="none"/>
              </w:rPr>
              <w:t>科技部认定的“中国独角兽企业”证书牌匾或公告文件</w:t>
            </w:r>
            <w:r>
              <w:rPr>
                <w:rFonts w:hint="eastAsia" w:hAnsi="宋体"/>
                <w:color w:val="auto"/>
                <w:sz w:val="18"/>
                <w:szCs w:val="16"/>
                <w:highlight w:val="none"/>
                <w:lang w:eastAsia="zh-CN"/>
              </w:rPr>
              <w:t>。</w:t>
            </w:r>
          </w:p>
        </w:tc>
      </w:tr>
      <w:tr w14:paraId="31E7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77978BF3">
            <w:pPr>
              <w:pStyle w:val="26"/>
              <w:ind w:firstLine="360"/>
              <w:jc w:val="center"/>
              <w:rPr>
                <w:rFonts w:hint="eastAsia" w:hAnsi="宋体" w:cs="宋体"/>
                <w:color w:val="auto"/>
                <w:sz w:val="18"/>
                <w:szCs w:val="18"/>
                <w:highlight w:val="none"/>
              </w:rPr>
            </w:pPr>
          </w:p>
        </w:tc>
        <w:tc>
          <w:tcPr>
            <w:tcW w:w="1191" w:type="dxa"/>
            <w:vMerge w:val="continue"/>
            <w:vAlign w:val="center"/>
          </w:tcPr>
          <w:p w14:paraId="10453537">
            <w:pPr>
              <w:pStyle w:val="26"/>
              <w:ind w:firstLine="0" w:firstLineChars="0"/>
              <w:jc w:val="center"/>
              <w:rPr>
                <w:rFonts w:hint="eastAsia" w:hAnsi="宋体" w:cs="宋体"/>
                <w:color w:val="auto"/>
                <w:sz w:val="18"/>
                <w:szCs w:val="18"/>
                <w:highlight w:val="none"/>
              </w:rPr>
            </w:pPr>
          </w:p>
        </w:tc>
        <w:tc>
          <w:tcPr>
            <w:tcW w:w="2182" w:type="dxa"/>
            <w:vAlign w:val="center"/>
          </w:tcPr>
          <w:p w14:paraId="5D640E56">
            <w:pPr>
              <w:pStyle w:val="26"/>
              <w:ind w:firstLine="0" w:firstLineChars="0"/>
              <w:jc w:val="center"/>
              <w:rPr>
                <w:rFonts w:hint="eastAsia" w:hAnsi="宋体" w:cs="宋体"/>
                <w:color w:val="auto"/>
                <w:sz w:val="18"/>
                <w:szCs w:val="16"/>
                <w:highlight w:val="none"/>
              </w:rPr>
            </w:pPr>
            <w:r>
              <w:rPr>
                <w:rFonts w:hint="eastAsia" w:hAnsi="宋体"/>
                <w:color w:val="auto"/>
                <w:sz w:val="18"/>
                <w:szCs w:val="16"/>
                <w:highlight w:val="none"/>
              </w:rPr>
              <w:t>国家级制造业单项冠军</w:t>
            </w:r>
          </w:p>
        </w:tc>
        <w:tc>
          <w:tcPr>
            <w:tcW w:w="5557" w:type="dxa"/>
            <w:vAlign w:val="center"/>
          </w:tcPr>
          <w:p w14:paraId="7A314DE7">
            <w:pPr>
              <w:pStyle w:val="26"/>
              <w:ind w:firstLine="0" w:firstLineChars="0"/>
              <w:rPr>
                <w:rFonts w:hint="eastAsia" w:hAnsi="宋体" w:eastAsia="宋体" w:cs="宋体"/>
                <w:color w:val="auto"/>
                <w:sz w:val="18"/>
                <w:szCs w:val="16"/>
                <w:highlight w:val="none"/>
                <w:lang w:eastAsia="zh-CN"/>
              </w:rPr>
            </w:pPr>
            <w:r>
              <w:rPr>
                <w:rFonts w:hint="eastAsia" w:hAnsi="宋体"/>
                <w:color w:val="auto"/>
                <w:sz w:val="18"/>
                <w:szCs w:val="16"/>
                <w:highlight w:val="none"/>
              </w:rPr>
              <w:t>工信部认定的“国家级制造业单项冠军”证书牌匾或公告文件</w:t>
            </w:r>
            <w:r>
              <w:rPr>
                <w:rFonts w:hint="eastAsia" w:hAnsi="宋体"/>
                <w:color w:val="auto"/>
                <w:sz w:val="18"/>
                <w:szCs w:val="16"/>
                <w:highlight w:val="none"/>
                <w:lang w:eastAsia="zh-CN"/>
              </w:rPr>
              <w:t>。</w:t>
            </w:r>
          </w:p>
        </w:tc>
      </w:tr>
      <w:tr w14:paraId="6D00D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restart"/>
            <w:vAlign w:val="center"/>
          </w:tcPr>
          <w:p w14:paraId="2EEF1B2B">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3</w:t>
            </w:r>
          </w:p>
        </w:tc>
        <w:tc>
          <w:tcPr>
            <w:tcW w:w="1191" w:type="dxa"/>
            <w:vMerge w:val="restart"/>
            <w:vAlign w:val="center"/>
          </w:tcPr>
          <w:p w14:paraId="4B5460E4">
            <w:pPr>
              <w:pStyle w:val="26"/>
              <w:ind w:firstLine="0" w:firstLineChars="0"/>
              <w:jc w:val="center"/>
              <w:rPr>
                <w:rFonts w:hint="eastAsia" w:hAnsi="宋体" w:cs="宋体"/>
                <w:color w:val="auto"/>
                <w:sz w:val="18"/>
                <w:szCs w:val="18"/>
                <w:highlight w:val="none"/>
              </w:rPr>
            </w:pPr>
            <w:r>
              <w:rPr>
                <w:rFonts w:hint="eastAsia" w:hAnsi="宋体" w:cs="宋体"/>
                <w:color w:val="auto"/>
                <w:sz w:val="18"/>
                <w:szCs w:val="18"/>
                <w:highlight w:val="none"/>
              </w:rPr>
              <w:t>重要佐证材料</w:t>
            </w:r>
          </w:p>
        </w:tc>
        <w:tc>
          <w:tcPr>
            <w:tcW w:w="7739" w:type="dxa"/>
            <w:gridSpan w:val="2"/>
            <w:vAlign w:val="center"/>
          </w:tcPr>
          <w:p w14:paraId="70F5A912">
            <w:pPr>
              <w:pStyle w:val="26"/>
              <w:ind w:firstLine="0" w:firstLineChars="0"/>
              <w:rPr>
                <w:rFonts w:hint="eastAsia" w:hAnsi="宋体" w:eastAsia="宋体" w:cs="宋体"/>
                <w:color w:val="auto"/>
                <w:sz w:val="18"/>
                <w:szCs w:val="18"/>
                <w:highlight w:val="none"/>
                <w:lang w:eastAsia="zh-CN"/>
              </w:rPr>
            </w:pPr>
            <w:r>
              <w:rPr>
                <w:rFonts w:hint="eastAsia" w:hAnsi="宋体" w:cs="宋体"/>
                <w:color w:val="auto"/>
                <w:sz w:val="18"/>
                <w:szCs w:val="18"/>
                <w:highlight w:val="none"/>
              </w:rPr>
              <w:t>被认定为广东省老字号或其他省级老字号的证书</w:t>
            </w:r>
            <w:r>
              <w:rPr>
                <w:rFonts w:hint="eastAsia" w:hAnsi="宋体" w:cs="宋体"/>
                <w:color w:val="auto"/>
                <w:sz w:val="18"/>
                <w:szCs w:val="18"/>
                <w:highlight w:val="none"/>
                <w:lang w:val="en-US" w:eastAsia="zh-CN"/>
              </w:rPr>
              <w:t>或</w:t>
            </w:r>
            <w:r>
              <w:rPr>
                <w:rFonts w:hint="eastAsia" w:hAnsi="宋体" w:cs="宋体"/>
                <w:color w:val="auto"/>
                <w:sz w:val="18"/>
                <w:szCs w:val="18"/>
                <w:highlight w:val="none"/>
              </w:rPr>
              <w:t>相关证明材料</w:t>
            </w:r>
            <w:r>
              <w:rPr>
                <w:rFonts w:hint="eastAsia" w:hAnsi="宋体" w:cs="宋体"/>
                <w:color w:val="auto"/>
                <w:sz w:val="18"/>
                <w:szCs w:val="18"/>
                <w:highlight w:val="none"/>
                <w:lang w:eastAsia="zh-CN"/>
              </w:rPr>
              <w:t>。</w:t>
            </w:r>
          </w:p>
        </w:tc>
      </w:tr>
      <w:tr w14:paraId="0C6E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316CD15B">
            <w:pPr>
              <w:pStyle w:val="26"/>
              <w:ind w:firstLine="0" w:firstLineChars="0"/>
              <w:jc w:val="center"/>
              <w:rPr>
                <w:rFonts w:hint="eastAsia" w:hAnsi="宋体" w:cs="宋体"/>
                <w:color w:val="auto"/>
                <w:sz w:val="18"/>
                <w:szCs w:val="18"/>
                <w:highlight w:val="none"/>
              </w:rPr>
            </w:pPr>
          </w:p>
        </w:tc>
        <w:tc>
          <w:tcPr>
            <w:tcW w:w="1191" w:type="dxa"/>
            <w:vMerge w:val="continue"/>
            <w:vAlign w:val="center"/>
          </w:tcPr>
          <w:p w14:paraId="312796FB">
            <w:pPr>
              <w:pStyle w:val="26"/>
              <w:ind w:firstLine="0" w:firstLineChars="0"/>
              <w:jc w:val="center"/>
              <w:rPr>
                <w:rFonts w:hint="eastAsia" w:hAnsi="宋体" w:cs="宋体"/>
                <w:color w:val="auto"/>
                <w:sz w:val="18"/>
                <w:szCs w:val="18"/>
                <w:highlight w:val="none"/>
              </w:rPr>
            </w:pPr>
          </w:p>
        </w:tc>
        <w:tc>
          <w:tcPr>
            <w:tcW w:w="7739" w:type="dxa"/>
            <w:gridSpan w:val="2"/>
            <w:vAlign w:val="center"/>
          </w:tcPr>
          <w:p w14:paraId="7E59B2D6">
            <w:pPr>
              <w:pStyle w:val="26"/>
              <w:ind w:firstLine="0" w:firstLineChars="0"/>
              <w:rPr>
                <w:rFonts w:hint="default" w:hAnsi="宋体" w:eastAsia="宋体" w:cs="宋体"/>
                <w:color w:val="auto"/>
                <w:sz w:val="18"/>
                <w:szCs w:val="18"/>
                <w:highlight w:val="none"/>
                <w:lang w:val="en-US" w:eastAsia="zh-CN"/>
              </w:rPr>
            </w:pPr>
            <w:r>
              <w:rPr>
                <w:rFonts w:hint="eastAsia" w:hAnsi="宋体" w:cs="宋体"/>
                <w:color w:val="auto"/>
                <w:sz w:val="18"/>
                <w:szCs w:val="18"/>
                <w:highlight w:val="none"/>
              </w:rPr>
              <w:t>被认定为国家专精特新小巨人或省专精特新企业的</w:t>
            </w:r>
            <w:r>
              <w:rPr>
                <w:rFonts w:hint="eastAsia" w:hAnsi="宋体" w:cs="宋体"/>
                <w:color w:val="auto"/>
                <w:sz w:val="18"/>
                <w:szCs w:val="18"/>
                <w:highlight w:val="none"/>
                <w:lang w:val="en-US" w:eastAsia="zh-CN"/>
              </w:rPr>
              <w:t>证书或相关证明材料。</w:t>
            </w:r>
          </w:p>
        </w:tc>
      </w:tr>
      <w:tr w14:paraId="23DE2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1C104955">
            <w:pPr>
              <w:pStyle w:val="26"/>
              <w:ind w:firstLine="0" w:firstLineChars="0"/>
              <w:jc w:val="center"/>
              <w:rPr>
                <w:rFonts w:hint="eastAsia" w:hAnsi="宋体" w:cs="宋体"/>
                <w:color w:val="auto"/>
                <w:sz w:val="18"/>
                <w:szCs w:val="18"/>
                <w:highlight w:val="none"/>
              </w:rPr>
            </w:pPr>
          </w:p>
        </w:tc>
        <w:tc>
          <w:tcPr>
            <w:tcW w:w="1191" w:type="dxa"/>
            <w:vMerge w:val="continue"/>
            <w:vAlign w:val="center"/>
          </w:tcPr>
          <w:p w14:paraId="417534B4">
            <w:pPr>
              <w:pStyle w:val="26"/>
              <w:ind w:firstLine="0" w:firstLineChars="0"/>
              <w:jc w:val="center"/>
              <w:rPr>
                <w:rFonts w:hint="eastAsia" w:hAnsi="宋体" w:cs="宋体"/>
                <w:color w:val="auto"/>
                <w:sz w:val="18"/>
                <w:szCs w:val="18"/>
                <w:highlight w:val="none"/>
              </w:rPr>
            </w:pPr>
          </w:p>
        </w:tc>
        <w:tc>
          <w:tcPr>
            <w:tcW w:w="7739" w:type="dxa"/>
            <w:gridSpan w:val="2"/>
            <w:vAlign w:val="center"/>
          </w:tcPr>
          <w:p w14:paraId="509AD517">
            <w:pPr>
              <w:pStyle w:val="26"/>
              <w:ind w:firstLine="0" w:firstLineChars="0"/>
              <w:rPr>
                <w:rFonts w:hint="eastAsia" w:hAnsi="宋体" w:eastAsia="宋体" w:cs="宋体"/>
                <w:color w:val="auto"/>
                <w:sz w:val="18"/>
                <w:szCs w:val="18"/>
                <w:highlight w:val="none"/>
                <w:lang w:eastAsia="zh-CN"/>
              </w:rPr>
            </w:pPr>
            <w:r>
              <w:rPr>
                <w:rFonts w:hint="eastAsia" w:hAnsi="宋体" w:cs="宋体"/>
                <w:color w:val="auto"/>
                <w:sz w:val="18"/>
                <w:szCs w:val="18"/>
                <w:highlight w:val="none"/>
                <w:lang w:val="en-US" w:eastAsia="zh-CN"/>
              </w:rPr>
              <w:t>申请人</w:t>
            </w:r>
            <w:r>
              <w:rPr>
                <w:rFonts w:hint="eastAsia" w:hAnsi="宋体" w:cs="宋体"/>
                <w:color w:val="auto"/>
                <w:sz w:val="18"/>
                <w:szCs w:val="18"/>
                <w:highlight w:val="none"/>
              </w:rPr>
              <w:t>近3年的完税证明及减免税证明。享受国家免税政策的申请人，可辅助提供年度审计报告或汇算清缴报告证明销售规模。主要经济指标包括分公司、全资子公司、参股公司（持股比例</w:t>
            </w:r>
            <w:r>
              <w:rPr>
                <w:rFonts w:hint="eastAsia" w:hAnsi="宋体" w:cs="宋体"/>
                <w:color w:val="auto"/>
                <w:sz w:val="18"/>
                <w:szCs w:val="18"/>
                <w:highlight w:val="none"/>
                <w:lang w:eastAsia="zh-CN"/>
              </w:rPr>
              <w:t>超过</w:t>
            </w:r>
            <w:r>
              <w:rPr>
                <w:rFonts w:hint="eastAsia" w:hAnsi="宋体" w:cs="宋体"/>
                <w:color w:val="auto"/>
                <w:sz w:val="18"/>
                <w:szCs w:val="18"/>
                <w:highlight w:val="none"/>
              </w:rPr>
              <w:t>50%）的，还应提交相关证明材料</w:t>
            </w:r>
            <w:r>
              <w:rPr>
                <w:rFonts w:hint="eastAsia" w:hAnsi="宋体" w:cs="宋体"/>
                <w:color w:val="auto"/>
                <w:sz w:val="18"/>
                <w:szCs w:val="18"/>
                <w:highlight w:val="none"/>
                <w:lang w:eastAsia="zh-CN"/>
              </w:rPr>
              <w:t>。</w:t>
            </w:r>
          </w:p>
        </w:tc>
      </w:tr>
      <w:tr w14:paraId="706E1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5C41974E">
            <w:pPr>
              <w:pStyle w:val="26"/>
              <w:ind w:firstLine="0" w:firstLineChars="0"/>
              <w:jc w:val="center"/>
              <w:rPr>
                <w:rFonts w:hint="eastAsia" w:hAnsi="宋体" w:cs="宋体"/>
                <w:color w:val="auto"/>
                <w:sz w:val="18"/>
                <w:szCs w:val="18"/>
                <w:highlight w:val="none"/>
              </w:rPr>
            </w:pPr>
          </w:p>
        </w:tc>
        <w:tc>
          <w:tcPr>
            <w:tcW w:w="1191" w:type="dxa"/>
            <w:vMerge w:val="continue"/>
            <w:vAlign w:val="center"/>
          </w:tcPr>
          <w:p w14:paraId="253F6782">
            <w:pPr>
              <w:pStyle w:val="26"/>
              <w:ind w:firstLine="0" w:firstLineChars="0"/>
              <w:jc w:val="center"/>
              <w:rPr>
                <w:rFonts w:hint="eastAsia" w:hAnsi="宋体" w:cs="宋体"/>
                <w:color w:val="auto"/>
                <w:sz w:val="18"/>
                <w:szCs w:val="18"/>
                <w:highlight w:val="none"/>
              </w:rPr>
            </w:pPr>
          </w:p>
        </w:tc>
        <w:tc>
          <w:tcPr>
            <w:tcW w:w="7739" w:type="dxa"/>
            <w:gridSpan w:val="2"/>
            <w:vAlign w:val="center"/>
          </w:tcPr>
          <w:p w14:paraId="39C8566F">
            <w:pPr>
              <w:pStyle w:val="26"/>
              <w:ind w:firstLine="0" w:firstLineChars="0"/>
              <w:rPr>
                <w:rFonts w:hint="eastAsia" w:hAnsi="宋体" w:eastAsia="宋体" w:cs="宋体"/>
                <w:color w:val="auto"/>
                <w:sz w:val="18"/>
                <w:szCs w:val="18"/>
                <w:highlight w:val="none"/>
                <w:lang w:eastAsia="zh-CN"/>
              </w:rPr>
            </w:pPr>
            <w:r>
              <w:rPr>
                <w:rFonts w:hint="eastAsia" w:hAnsi="宋体" w:cs="宋体"/>
                <w:color w:val="auto"/>
                <w:sz w:val="18"/>
                <w:szCs w:val="18"/>
                <w:highlight w:val="none"/>
                <w:lang w:val="en-US" w:eastAsia="zh-CN"/>
              </w:rPr>
              <w:t>申请人作为</w:t>
            </w:r>
            <w:r>
              <w:rPr>
                <w:rFonts w:hint="eastAsia" w:hAnsi="宋体" w:cs="宋体"/>
                <w:color w:val="auto"/>
                <w:sz w:val="18"/>
                <w:szCs w:val="18"/>
                <w:highlight w:val="none"/>
              </w:rPr>
              <w:t>被侵权方需提供如下证明材料：针对</w:t>
            </w:r>
            <w:r>
              <w:rPr>
                <w:rFonts w:hint="eastAsia" w:hAnsi="宋体" w:cs="宋体"/>
                <w:color w:val="auto"/>
                <w:sz w:val="18"/>
                <w:szCs w:val="18"/>
                <w:highlight w:val="none"/>
                <w:lang w:val="en-US" w:eastAsia="zh-CN"/>
              </w:rPr>
              <w:t>申请字号被</w:t>
            </w:r>
            <w:r>
              <w:rPr>
                <w:rFonts w:hint="eastAsia" w:hAnsi="宋体" w:cs="宋体"/>
                <w:color w:val="auto"/>
                <w:sz w:val="18"/>
                <w:szCs w:val="18"/>
                <w:highlight w:val="none"/>
              </w:rPr>
              <w:t>侵权行为的行政处罚决定书、法院判决书</w:t>
            </w:r>
            <w:r>
              <w:rPr>
                <w:rFonts w:hint="eastAsia" w:hAnsi="宋体" w:cs="宋体"/>
                <w:color w:val="auto"/>
                <w:sz w:val="18"/>
                <w:szCs w:val="18"/>
                <w:highlight w:val="none"/>
                <w:lang w:val="en-US" w:eastAsia="zh-CN"/>
              </w:rPr>
              <w:t>等</w:t>
            </w:r>
            <w:r>
              <w:rPr>
                <w:rFonts w:hint="eastAsia" w:hAnsi="宋体" w:cs="宋体"/>
                <w:color w:val="auto"/>
                <w:sz w:val="18"/>
                <w:szCs w:val="18"/>
                <w:highlight w:val="none"/>
                <w:lang w:eastAsia="zh-CN"/>
              </w:rPr>
              <w:t>。</w:t>
            </w:r>
          </w:p>
        </w:tc>
      </w:tr>
      <w:tr w14:paraId="2E50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483" w:type="dxa"/>
            <w:vMerge w:val="continue"/>
            <w:vAlign w:val="center"/>
          </w:tcPr>
          <w:p w14:paraId="3935A780">
            <w:pPr>
              <w:pStyle w:val="26"/>
              <w:ind w:firstLine="0" w:firstLineChars="0"/>
              <w:jc w:val="center"/>
              <w:rPr>
                <w:rFonts w:hint="eastAsia" w:hAnsi="宋体" w:cs="宋体"/>
                <w:color w:val="auto"/>
                <w:sz w:val="18"/>
                <w:szCs w:val="18"/>
                <w:highlight w:val="none"/>
              </w:rPr>
            </w:pPr>
            <w:bookmarkStart w:id="118" w:name="_Toc15882"/>
            <w:bookmarkStart w:id="119" w:name="_Toc7849"/>
            <w:bookmarkStart w:id="120" w:name="_Toc13978"/>
            <w:bookmarkStart w:id="121" w:name="_Toc13434"/>
            <w:bookmarkStart w:id="122" w:name="_Toc1625"/>
          </w:p>
        </w:tc>
        <w:tc>
          <w:tcPr>
            <w:tcW w:w="1191" w:type="dxa"/>
            <w:vMerge w:val="continue"/>
            <w:vAlign w:val="center"/>
          </w:tcPr>
          <w:p w14:paraId="004906CF">
            <w:pPr>
              <w:pStyle w:val="26"/>
              <w:ind w:firstLine="0" w:firstLineChars="0"/>
              <w:jc w:val="center"/>
              <w:rPr>
                <w:rFonts w:hint="eastAsia" w:hAnsi="宋体" w:cs="宋体"/>
                <w:color w:val="auto"/>
                <w:sz w:val="18"/>
                <w:szCs w:val="18"/>
                <w:highlight w:val="none"/>
              </w:rPr>
            </w:pPr>
          </w:p>
        </w:tc>
        <w:tc>
          <w:tcPr>
            <w:tcW w:w="7739" w:type="dxa"/>
            <w:gridSpan w:val="2"/>
            <w:vAlign w:val="center"/>
          </w:tcPr>
          <w:p w14:paraId="6CA07877">
            <w:pPr>
              <w:pStyle w:val="26"/>
              <w:ind w:firstLine="0" w:firstLineChars="0"/>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申请人产品销售（服务）网络覆盖证明材料：</w:t>
            </w:r>
            <w:r>
              <w:rPr>
                <w:rFonts w:hint="eastAsia" w:hAnsi="宋体" w:cs="宋体"/>
                <w:color w:val="auto"/>
                <w:sz w:val="18"/>
                <w:szCs w:val="18"/>
                <w:highlight w:val="none"/>
              </w:rPr>
              <w:t>设在外地的子公司营业执照复印件</w:t>
            </w:r>
            <w:r>
              <w:rPr>
                <w:rFonts w:hint="eastAsia" w:hAnsi="宋体" w:cs="宋体"/>
                <w:color w:val="auto"/>
                <w:sz w:val="18"/>
                <w:szCs w:val="18"/>
                <w:highlight w:val="none"/>
                <w:lang w:eastAsia="zh-CN"/>
              </w:rPr>
              <w:t>、</w:t>
            </w:r>
            <w:r>
              <w:rPr>
                <w:rFonts w:hint="eastAsia" w:hAnsi="宋体" w:cs="宋体"/>
                <w:color w:val="auto"/>
                <w:sz w:val="18"/>
                <w:szCs w:val="18"/>
                <w:highlight w:val="none"/>
              </w:rPr>
              <w:t>投资关系证明</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经营场地照片等</w:t>
            </w:r>
            <w:r>
              <w:rPr>
                <w:rFonts w:hint="eastAsia" w:hAnsi="宋体" w:cs="宋体"/>
                <w:color w:val="auto"/>
                <w:sz w:val="18"/>
                <w:szCs w:val="18"/>
                <w:highlight w:val="none"/>
                <w:lang w:eastAsia="zh-CN"/>
              </w:rPr>
              <w:t>；</w:t>
            </w:r>
            <w:r>
              <w:rPr>
                <w:rFonts w:hint="eastAsia" w:hAnsi="宋体" w:cs="宋体"/>
                <w:color w:val="auto"/>
                <w:sz w:val="18"/>
                <w:szCs w:val="18"/>
                <w:highlight w:val="none"/>
              </w:rPr>
              <w:t>设在外地的分支机构营业执照复印件</w:t>
            </w:r>
            <w:r>
              <w:rPr>
                <w:rFonts w:hint="eastAsia" w:hAnsi="宋体" w:cs="宋体"/>
                <w:color w:val="auto"/>
                <w:sz w:val="18"/>
                <w:szCs w:val="18"/>
                <w:highlight w:val="none"/>
                <w:lang w:val="en-US" w:eastAsia="zh-CN"/>
              </w:rPr>
              <w:t>、经营场所照片等</w:t>
            </w:r>
            <w:r>
              <w:rPr>
                <w:rFonts w:hint="eastAsia" w:hAnsi="宋体" w:cs="宋体"/>
                <w:color w:val="auto"/>
                <w:sz w:val="18"/>
                <w:szCs w:val="18"/>
                <w:highlight w:val="none"/>
                <w:lang w:eastAsia="zh-CN"/>
              </w:rPr>
              <w:t>；</w:t>
            </w:r>
            <w:r>
              <w:rPr>
                <w:rFonts w:hint="eastAsia" w:hAnsi="宋体" w:cs="宋体"/>
                <w:color w:val="auto"/>
                <w:sz w:val="18"/>
                <w:szCs w:val="18"/>
                <w:highlight w:val="none"/>
              </w:rPr>
              <w:t>主要外地代理商营业执照复印件、联系人、联系电话及委托代理其产品或服务的有关协议、</w:t>
            </w:r>
            <w:r>
              <w:rPr>
                <w:rFonts w:hint="eastAsia" w:hAnsi="宋体" w:cs="宋体"/>
                <w:color w:val="auto"/>
                <w:sz w:val="18"/>
                <w:szCs w:val="18"/>
                <w:highlight w:val="none"/>
                <w:lang w:val="en-US" w:eastAsia="zh-CN"/>
              </w:rPr>
              <w:t>业务来往凭证等；线上产品销售（服务）覆盖区域证明材料等。</w:t>
            </w:r>
          </w:p>
        </w:tc>
      </w:tr>
    </w:tbl>
    <w:p w14:paraId="3EDF2D77">
      <w:pPr>
        <w:pStyle w:val="82"/>
        <w:numPr>
          <w:ilvl w:val="0"/>
          <w:numId w:val="0"/>
        </w:numPr>
        <w:spacing w:before="0" w:beforeLines="0" w:after="0" w:afterLines="0"/>
        <w:rPr>
          <w:rFonts w:hint="eastAsia" w:ascii="宋体" w:hAnsi="宋体" w:eastAsia="宋体" w:cs="宋体"/>
          <w:color w:val="auto"/>
          <w:szCs w:val="22"/>
          <w:highlight w:val="none"/>
        </w:rPr>
      </w:pPr>
    </w:p>
    <w:p w14:paraId="6A90BBD2">
      <w:pPr>
        <w:pStyle w:val="82"/>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延续申报时，参照表1申报材料说明表，通用必须材料、专项材料无变更的无需重复提供，重要佐证材料应重新提供近三年的证明材料。</w:t>
      </w:r>
    </w:p>
    <w:bookmarkEnd w:id="118"/>
    <w:bookmarkEnd w:id="119"/>
    <w:bookmarkEnd w:id="120"/>
    <w:bookmarkEnd w:id="121"/>
    <w:bookmarkEnd w:id="122"/>
    <w:p w14:paraId="7270F691">
      <w:pPr>
        <w:pStyle w:val="82"/>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申请人提交的材料应当真实有效。相关证件、证明文件和证据材料是外文的，应附送中文译文，若根据相关规定需要公证的，则提供公证件。</w:t>
      </w:r>
    </w:p>
    <w:p w14:paraId="4876F8F2">
      <w:pPr>
        <w:pStyle w:val="109"/>
        <w:outlineLvl w:val="0"/>
        <w:rPr>
          <w:rFonts w:hint="eastAsia"/>
          <w:color w:val="auto"/>
          <w:szCs w:val="22"/>
          <w:highlight w:val="none"/>
        </w:rPr>
      </w:pPr>
      <w:bookmarkStart w:id="123" w:name="_Toc30365"/>
      <w:bookmarkStart w:id="124" w:name="_Toc22276"/>
      <w:bookmarkStart w:id="125" w:name="_Toc4744"/>
      <w:bookmarkStart w:id="126" w:name="_Toc12711"/>
      <w:bookmarkStart w:id="127" w:name="_Toc3009"/>
      <w:r>
        <w:rPr>
          <w:rFonts w:hint="eastAsia"/>
          <w:color w:val="auto"/>
          <w:szCs w:val="22"/>
          <w:highlight w:val="none"/>
        </w:rPr>
        <w:t>纳入程序</w:t>
      </w:r>
      <w:bookmarkEnd w:id="123"/>
      <w:bookmarkEnd w:id="124"/>
      <w:bookmarkEnd w:id="125"/>
      <w:bookmarkEnd w:id="126"/>
      <w:bookmarkEnd w:id="127"/>
    </w:p>
    <w:p w14:paraId="25988F99">
      <w:pPr>
        <w:pStyle w:val="82"/>
        <w:ind w:left="0" w:firstLine="0"/>
        <w:outlineLvl w:val="1"/>
        <w:rPr>
          <w:rFonts w:hAnsi="黑体"/>
          <w:color w:val="auto"/>
          <w:highlight w:val="none"/>
        </w:rPr>
      </w:pPr>
      <w:r>
        <w:rPr>
          <w:rFonts w:hAnsi="黑体"/>
          <w:color w:val="auto"/>
          <w:highlight w:val="none"/>
        </w:rPr>
        <w:t xml:space="preserve"> </w:t>
      </w:r>
      <w:bookmarkStart w:id="128" w:name="_Toc32716"/>
      <w:bookmarkStart w:id="129" w:name="_Toc24516"/>
      <w:bookmarkStart w:id="130" w:name="_Toc21471"/>
      <w:r>
        <w:rPr>
          <w:rFonts w:hint="eastAsia" w:hAnsi="黑体"/>
          <w:color w:val="auto"/>
          <w:highlight w:val="none"/>
        </w:rPr>
        <w:t>申请与受理</w:t>
      </w:r>
      <w:bookmarkEnd w:id="128"/>
      <w:bookmarkEnd w:id="129"/>
      <w:bookmarkEnd w:id="130"/>
    </w:p>
    <w:p w14:paraId="34453357">
      <w:pPr>
        <w:pStyle w:val="26"/>
        <w:rPr>
          <w:rFonts w:hint="eastAsia"/>
          <w:color w:val="auto"/>
          <w:highlight w:val="none"/>
        </w:rPr>
      </w:pPr>
      <w:r>
        <w:rPr>
          <w:rFonts w:hint="eastAsia"/>
          <w:color w:val="auto"/>
          <w:highlight w:val="none"/>
        </w:rPr>
        <w:t>申请人按照广东商标协会的要求，通过指定途径提交申请书及相关证明材料。证明材料应真实、有效、完整。</w:t>
      </w:r>
    </w:p>
    <w:p w14:paraId="44623BED">
      <w:pPr>
        <w:pStyle w:val="26"/>
        <w:rPr>
          <w:color w:val="auto"/>
          <w:highlight w:val="none"/>
        </w:rPr>
      </w:pPr>
      <w:r>
        <w:rPr>
          <w:rFonts w:hint="eastAsia"/>
          <w:color w:val="auto"/>
          <w:highlight w:val="none"/>
          <w:lang w:val="en-US" w:eastAsia="zh-CN"/>
        </w:rPr>
        <w:t>办公室</w:t>
      </w:r>
      <w:r>
        <w:rPr>
          <w:rFonts w:hint="eastAsia"/>
          <w:color w:val="auto"/>
          <w:highlight w:val="none"/>
        </w:rPr>
        <w:t>负责</w:t>
      </w:r>
      <w:r>
        <w:rPr>
          <w:rFonts w:hint="eastAsia"/>
          <w:color w:val="auto"/>
          <w:highlight w:val="none"/>
          <w:lang w:val="en-US" w:eastAsia="zh-CN"/>
        </w:rPr>
        <w:t>组织</w:t>
      </w:r>
      <w:r>
        <w:rPr>
          <w:rFonts w:hint="eastAsia"/>
          <w:color w:val="auto"/>
          <w:highlight w:val="none"/>
        </w:rPr>
        <w:t>接收申请材料，并</w:t>
      </w:r>
      <w:r>
        <w:rPr>
          <w:rFonts w:hint="eastAsia"/>
          <w:color w:val="auto"/>
          <w:highlight w:val="none"/>
          <w:lang w:val="en-US" w:eastAsia="zh-CN"/>
        </w:rPr>
        <w:t>进行</w:t>
      </w:r>
      <w:r>
        <w:rPr>
          <w:rFonts w:hint="eastAsia"/>
          <w:color w:val="auto"/>
          <w:highlight w:val="none"/>
        </w:rPr>
        <w:t>形式审查。材料齐全、符合形式要求的，予以受理；不符合要求的，应一次性告知申请人需要补正的内容。</w:t>
      </w:r>
    </w:p>
    <w:p w14:paraId="7D624D12">
      <w:pPr>
        <w:pStyle w:val="82"/>
        <w:ind w:left="0" w:firstLine="0"/>
        <w:outlineLvl w:val="1"/>
        <w:rPr>
          <w:rFonts w:hAnsi="黑体"/>
          <w:color w:val="auto"/>
          <w:highlight w:val="none"/>
        </w:rPr>
      </w:pPr>
      <w:r>
        <w:rPr>
          <w:rFonts w:ascii="Times New Roman"/>
          <w:color w:val="auto"/>
          <w:highlight w:val="none"/>
        </w:rPr>
        <w:t xml:space="preserve"> </w:t>
      </w:r>
      <w:r>
        <w:rPr>
          <w:rFonts w:hint="eastAsia" w:ascii="Times New Roman"/>
          <w:color w:val="auto"/>
          <w:highlight w:val="none"/>
        </w:rPr>
        <w:t>评审</w:t>
      </w:r>
    </w:p>
    <w:p w14:paraId="4E232DB1">
      <w:pPr>
        <w:pStyle w:val="82"/>
        <w:numPr>
          <w:ilvl w:val="2"/>
          <w:numId w:val="6"/>
        </w:numPr>
        <w:ind w:left="567"/>
        <w:outlineLvl w:val="1"/>
        <w:rPr>
          <w:rFonts w:hint="eastAsia" w:hAnsi="黑体"/>
          <w:color w:val="auto"/>
          <w:highlight w:val="none"/>
        </w:rPr>
      </w:pPr>
      <w:r>
        <w:rPr>
          <w:rFonts w:hint="eastAsia" w:hAnsi="黑体"/>
          <w:color w:val="auto"/>
          <w:highlight w:val="none"/>
        </w:rPr>
        <w:t xml:space="preserve"> 初审</w:t>
      </w:r>
    </w:p>
    <w:p w14:paraId="16619B09">
      <w:pPr>
        <w:pStyle w:val="26"/>
        <w:rPr>
          <w:rFonts w:hint="eastAsia"/>
          <w:color w:val="auto"/>
          <w:highlight w:val="none"/>
        </w:rPr>
      </w:pPr>
      <w:r>
        <w:rPr>
          <w:rFonts w:hint="eastAsia"/>
          <w:color w:val="auto"/>
          <w:highlight w:val="none"/>
          <w:lang w:val="en-US" w:eastAsia="zh-CN"/>
        </w:rPr>
        <w:t>办公室组织专业人员</w:t>
      </w:r>
      <w:r>
        <w:rPr>
          <w:rFonts w:hint="eastAsia"/>
          <w:color w:val="auto"/>
          <w:highlight w:val="none"/>
        </w:rPr>
        <w:t>对申请材料的真实性、有效性进行</w:t>
      </w:r>
      <w:r>
        <w:rPr>
          <w:rFonts w:hint="eastAsia"/>
          <w:color w:val="auto"/>
          <w:highlight w:val="none"/>
          <w:lang w:val="en-US" w:eastAsia="zh-CN"/>
        </w:rPr>
        <w:t>实质性</w:t>
      </w:r>
      <w:r>
        <w:rPr>
          <w:rFonts w:hint="eastAsia"/>
          <w:color w:val="auto"/>
          <w:highlight w:val="none"/>
        </w:rPr>
        <w:t>审查。线上申报系统借助AI评审系统</w:t>
      </w:r>
      <w:r>
        <w:rPr>
          <w:rFonts w:hint="eastAsia"/>
          <w:color w:val="auto"/>
          <w:highlight w:val="none"/>
          <w:lang w:eastAsia="zh-CN"/>
        </w:rPr>
        <w:t>对</w:t>
      </w:r>
      <w:r>
        <w:rPr>
          <w:rFonts w:hint="eastAsia"/>
          <w:color w:val="auto"/>
          <w:highlight w:val="none"/>
        </w:rPr>
        <w:t>申报材料进行初审打分。</w:t>
      </w:r>
    </w:p>
    <w:p w14:paraId="12D15503">
      <w:pPr>
        <w:pStyle w:val="82"/>
        <w:numPr>
          <w:ilvl w:val="2"/>
          <w:numId w:val="6"/>
        </w:numPr>
        <w:ind w:left="567"/>
        <w:outlineLvl w:val="1"/>
        <w:rPr>
          <w:rFonts w:hAnsi="黑体"/>
          <w:color w:val="auto"/>
          <w:highlight w:val="none"/>
        </w:rPr>
      </w:pPr>
      <w:r>
        <w:rPr>
          <w:rFonts w:hint="eastAsia" w:hAnsi="黑体"/>
          <w:color w:val="auto"/>
          <w:highlight w:val="none"/>
        </w:rPr>
        <w:t xml:space="preserve"> 专家评审</w:t>
      </w:r>
    </w:p>
    <w:p w14:paraId="6BBF4249">
      <w:pPr>
        <w:pStyle w:val="26"/>
        <w:rPr>
          <w:rFonts w:hint="eastAsia"/>
          <w:color w:val="auto"/>
          <w:highlight w:val="none"/>
        </w:rPr>
      </w:pPr>
      <w:r>
        <w:rPr>
          <w:rFonts w:hint="eastAsia"/>
          <w:color w:val="auto"/>
          <w:highlight w:val="none"/>
          <w:lang w:val="en-US" w:eastAsia="zh-CN"/>
        </w:rPr>
        <w:t>办公室</w:t>
      </w:r>
      <w:r>
        <w:rPr>
          <w:rFonts w:hint="eastAsia"/>
          <w:color w:val="auto"/>
          <w:highlight w:val="none"/>
        </w:rPr>
        <w:t>召集成立不少于三人的专家组，专家应依据审核标准进行评审复核，评分120分以上为专家评审</w:t>
      </w:r>
      <w:r>
        <w:rPr>
          <w:rFonts w:hint="eastAsia"/>
          <w:color w:val="auto"/>
          <w:highlight w:val="none"/>
          <w:lang w:val="en-US" w:eastAsia="zh-CN"/>
        </w:rPr>
        <w:t>合格</w:t>
      </w:r>
      <w:r>
        <w:rPr>
          <w:rFonts w:hint="eastAsia"/>
          <w:color w:val="auto"/>
          <w:highlight w:val="none"/>
        </w:rPr>
        <w:t>。相关审核评分表见附录A。专家评审后，</w:t>
      </w:r>
      <w:r>
        <w:rPr>
          <w:rFonts w:hint="eastAsia"/>
          <w:color w:val="auto"/>
          <w:highlight w:val="none"/>
          <w:lang w:val="en-US" w:eastAsia="zh-CN"/>
        </w:rPr>
        <w:t>办公室</w:t>
      </w:r>
      <w:r>
        <w:rPr>
          <w:rFonts w:hint="eastAsia"/>
          <w:color w:val="auto"/>
          <w:highlight w:val="none"/>
        </w:rPr>
        <w:t>将专家评审结果报字保委。</w:t>
      </w:r>
    </w:p>
    <w:p w14:paraId="0C1C6AC7">
      <w:pPr>
        <w:pStyle w:val="82"/>
        <w:numPr>
          <w:ilvl w:val="2"/>
          <w:numId w:val="6"/>
        </w:numPr>
        <w:ind w:left="567"/>
        <w:outlineLvl w:val="1"/>
        <w:rPr>
          <w:rFonts w:hAnsi="黑体"/>
          <w:color w:val="auto"/>
          <w:highlight w:val="none"/>
        </w:rPr>
      </w:pPr>
      <w:r>
        <w:rPr>
          <w:rFonts w:hint="eastAsia" w:hAnsi="黑体"/>
          <w:color w:val="auto"/>
          <w:highlight w:val="none"/>
        </w:rPr>
        <w:t xml:space="preserve"> 字保委审议</w:t>
      </w:r>
    </w:p>
    <w:p w14:paraId="42012DF8">
      <w:pPr>
        <w:pStyle w:val="26"/>
        <w:rPr>
          <w:rFonts w:hint="default" w:eastAsia="宋体"/>
          <w:color w:val="auto"/>
          <w:highlight w:val="none"/>
          <w:lang w:val="en-US" w:eastAsia="zh-CN"/>
        </w:rPr>
      </w:pPr>
      <w:r>
        <w:rPr>
          <w:rFonts w:hint="eastAsia"/>
          <w:color w:val="auto"/>
          <w:highlight w:val="none"/>
        </w:rPr>
        <w:t>“字保委”根据专家评分和综合情况</w:t>
      </w:r>
      <w:r>
        <w:rPr>
          <w:rFonts w:hint="eastAsia"/>
          <w:color w:val="auto"/>
          <w:highlight w:val="none"/>
          <w:lang w:val="en-US" w:eastAsia="zh-CN"/>
        </w:rPr>
        <w:t>进行评议。</w:t>
      </w:r>
    </w:p>
    <w:p w14:paraId="7C5A223F">
      <w:pPr>
        <w:pStyle w:val="26"/>
        <w:rPr>
          <w:color w:val="auto"/>
          <w:highlight w:val="none"/>
        </w:rPr>
      </w:pPr>
      <w:r>
        <w:rPr>
          <w:rFonts w:hint="eastAsia"/>
          <w:color w:val="auto"/>
          <w:highlight w:val="none"/>
        </w:rPr>
        <w:t>“字保委”审议知名字号名单时，应有</w:t>
      </w:r>
      <w:r>
        <w:rPr>
          <w:rFonts w:hint="eastAsia"/>
          <w:color w:val="auto"/>
          <w:highlight w:val="none"/>
          <w:lang w:val="en-US" w:eastAsia="zh-CN"/>
        </w:rPr>
        <w:t>四分之三</w:t>
      </w:r>
      <w:r>
        <w:rPr>
          <w:rFonts w:hint="eastAsia"/>
          <w:color w:val="auto"/>
          <w:highlight w:val="none"/>
        </w:rPr>
        <w:t>以上委员出席，获得三分之二以上出席委员审议通过的，</w:t>
      </w:r>
      <w:r>
        <w:rPr>
          <w:rFonts w:hint="eastAsia"/>
          <w:color w:val="auto"/>
          <w:highlight w:val="none"/>
          <w:lang w:val="en-US" w:eastAsia="zh-CN"/>
        </w:rPr>
        <w:t>入围</w:t>
      </w:r>
      <w:r>
        <w:rPr>
          <w:rFonts w:hint="eastAsia"/>
          <w:color w:val="auto"/>
          <w:highlight w:val="none"/>
        </w:rPr>
        <w:t>拟纳入知名字号名单。</w:t>
      </w:r>
    </w:p>
    <w:p w14:paraId="77B5ED32">
      <w:pPr>
        <w:pStyle w:val="82"/>
        <w:ind w:left="0" w:firstLine="0"/>
        <w:rPr>
          <w:rFonts w:hAnsi="黑体"/>
          <w:color w:val="auto"/>
          <w:highlight w:val="none"/>
        </w:rPr>
      </w:pPr>
      <w:bookmarkStart w:id="131" w:name="_Toc10597"/>
      <w:bookmarkStart w:id="132" w:name="_Toc8554"/>
      <w:r>
        <w:rPr>
          <w:rFonts w:hint="eastAsia" w:hAnsi="黑体"/>
          <w:color w:val="auto"/>
          <w:highlight w:val="none"/>
        </w:rPr>
        <w:t>公示</w:t>
      </w:r>
      <w:bookmarkEnd w:id="131"/>
      <w:bookmarkEnd w:id="132"/>
    </w:p>
    <w:p w14:paraId="2F697F17">
      <w:pPr>
        <w:pStyle w:val="26"/>
        <w:rPr>
          <w:rFonts w:hint="eastAsia"/>
          <w:color w:val="auto"/>
          <w:szCs w:val="22"/>
          <w:highlight w:val="none"/>
        </w:rPr>
      </w:pPr>
      <w:r>
        <w:rPr>
          <w:rFonts w:hint="eastAsia"/>
          <w:color w:val="auto"/>
          <w:szCs w:val="22"/>
          <w:highlight w:val="none"/>
        </w:rPr>
        <w:t>经字保委审议通过，拟</w:t>
      </w:r>
      <w:r>
        <w:rPr>
          <w:rFonts w:hint="eastAsia"/>
          <w:color w:val="auto"/>
          <w:szCs w:val="22"/>
          <w:highlight w:val="none"/>
          <w:lang w:val="en-US" w:eastAsia="zh-CN"/>
        </w:rPr>
        <w:t>认定的广东省知名</w:t>
      </w:r>
      <w:r>
        <w:rPr>
          <w:rFonts w:hint="eastAsia"/>
          <w:color w:val="auto"/>
          <w:szCs w:val="22"/>
          <w:highlight w:val="none"/>
        </w:rPr>
        <w:t>字号名单在广东商标协会官方网站或其他指定平台进行公示，公示期为</w:t>
      </w:r>
      <w:r>
        <w:rPr>
          <w:rFonts w:hint="eastAsia"/>
          <w:color w:val="auto"/>
          <w:szCs w:val="22"/>
          <w:highlight w:val="none"/>
          <w:lang w:val="en-US" w:eastAsia="zh-CN"/>
        </w:rPr>
        <w:t>2</w:t>
      </w:r>
      <w:r>
        <w:rPr>
          <w:rFonts w:hint="eastAsia"/>
          <w:color w:val="auto"/>
          <w:szCs w:val="22"/>
          <w:highlight w:val="none"/>
        </w:rPr>
        <w:t>0个工作日。</w:t>
      </w:r>
    </w:p>
    <w:p w14:paraId="248FB564">
      <w:pPr>
        <w:pStyle w:val="82"/>
        <w:ind w:left="0" w:firstLine="0"/>
        <w:outlineLvl w:val="1"/>
        <w:rPr>
          <w:rFonts w:ascii="Times New Roman"/>
          <w:color w:val="auto"/>
          <w:highlight w:val="none"/>
        </w:rPr>
      </w:pPr>
      <w:r>
        <w:rPr>
          <w:rFonts w:ascii="Times New Roman"/>
          <w:color w:val="auto"/>
          <w:highlight w:val="none"/>
        </w:rPr>
        <w:t xml:space="preserve"> </w:t>
      </w:r>
      <w:bookmarkStart w:id="133" w:name="_Toc10657"/>
      <w:bookmarkStart w:id="134" w:name="_Toc3088"/>
      <w:bookmarkStart w:id="135" w:name="_Toc17918"/>
      <w:r>
        <w:rPr>
          <w:rFonts w:hint="eastAsia" w:ascii="Times New Roman"/>
          <w:color w:val="auto"/>
          <w:highlight w:val="none"/>
        </w:rPr>
        <w:t>异议、</w:t>
      </w:r>
      <w:r>
        <w:rPr>
          <w:rFonts w:ascii="Times New Roman"/>
          <w:color w:val="auto"/>
          <w:highlight w:val="none"/>
        </w:rPr>
        <w:t>申诉和复议</w:t>
      </w:r>
      <w:bookmarkEnd w:id="133"/>
      <w:bookmarkEnd w:id="134"/>
      <w:bookmarkEnd w:id="135"/>
    </w:p>
    <w:p w14:paraId="64186774">
      <w:pPr>
        <w:pStyle w:val="82"/>
        <w:numPr>
          <w:ilvl w:val="2"/>
          <w:numId w:val="6"/>
        </w:numPr>
        <w:ind w:left="567"/>
        <w:outlineLvl w:val="1"/>
        <w:rPr>
          <w:rFonts w:hint="eastAsia" w:hAnsi="黑体"/>
          <w:color w:val="auto"/>
          <w:highlight w:val="none"/>
        </w:rPr>
      </w:pPr>
      <w:bookmarkStart w:id="136" w:name="_Toc277"/>
      <w:bookmarkStart w:id="137" w:name="_Toc7993"/>
      <w:r>
        <w:rPr>
          <w:rFonts w:hint="eastAsia" w:hAnsi="黑体"/>
          <w:color w:val="auto"/>
          <w:highlight w:val="none"/>
        </w:rPr>
        <w:t xml:space="preserve"> 异议和申诉</w:t>
      </w:r>
      <w:bookmarkEnd w:id="136"/>
      <w:bookmarkEnd w:id="137"/>
    </w:p>
    <w:p w14:paraId="5E1E8DFC">
      <w:pPr>
        <w:pStyle w:val="26"/>
        <w:rPr>
          <w:rFonts w:hint="eastAsia"/>
          <w:color w:val="auto"/>
          <w:szCs w:val="22"/>
          <w:highlight w:val="none"/>
        </w:rPr>
      </w:pPr>
      <w:r>
        <w:rPr>
          <w:rFonts w:hint="eastAsia"/>
          <w:color w:val="auto"/>
          <w:szCs w:val="22"/>
          <w:highlight w:val="none"/>
        </w:rPr>
        <w:t>公示期内，任何单位或个人若有异议，应以实名</w:t>
      </w:r>
      <w:r>
        <w:rPr>
          <w:rFonts w:hint="eastAsia"/>
          <w:color w:val="auto"/>
          <w:szCs w:val="22"/>
          <w:highlight w:val="none"/>
          <w:lang w:val="en-US" w:eastAsia="zh-CN"/>
        </w:rPr>
        <w:t>并书面</w:t>
      </w:r>
      <w:r>
        <w:rPr>
          <w:rFonts w:hint="eastAsia"/>
          <w:color w:val="auto"/>
          <w:szCs w:val="22"/>
          <w:highlight w:val="none"/>
        </w:rPr>
        <w:t>方式向字保委提出。申请人对不予</w:t>
      </w:r>
      <w:r>
        <w:rPr>
          <w:rFonts w:hint="eastAsia"/>
          <w:color w:val="auto"/>
          <w:szCs w:val="22"/>
          <w:highlight w:val="none"/>
          <w:lang w:val="en-US" w:eastAsia="zh-CN"/>
        </w:rPr>
        <w:t>认定为广东省知名字号</w:t>
      </w:r>
      <w:r>
        <w:rPr>
          <w:rFonts w:hint="eastAsia"/>
          <w:color w:val="auto"/>
          <w:szCs w:val="22"/>
          <w:highlight w:val="none"/>
        </w:rPr>
        <w:t>的决定不服，可以自收到不予纳入决定之日起</w:t>
      </w:r>
      <w:r>
        <w:rPr>
          <w:rFonts w:hint="eastAsia"/>
          <w:color w:val="auto"/>
          <w:szCs w:val="22"/>
          <w:highlight w:val="none"/>
          <w:lang w:val="en-US" w:eastAsia="zh-CN"/>
        </w:rPr>
        <w:t>1</w:t>
      </w:r>
      <w:r>
        <w:rPr>
          <w:rFonts w:hint="eastAsia"/>
          <w:color w:val="auto"/>
          <w:szCs w:val="22"/>
          <w:highlight w:val="none"/>
        </w:rPr>
        <w:t>0个工作日内向字保委提出申诉。</w:t>
      </w:r>
    </w:p>
    <w:p w14:paraId="66AD928E">
      <w:pPr>
        <w:pStyle w:val="26"/>
        <w:rPr>
          <w:rFonts w:hint="eastAsia"/>
          <w:color w:val="auto"/>
          <w:szCs w:val="22"/>
          <w:highlight w:val="none"/>
        </w:rPr>
      </w:pPr>
      <w:r>
        <w:rPr>
          <w:rFonts w:hint="eastAsia"/>
          <w:color w:val="auto"/>
          <w:szCs w:val="22"/>
          <w:highlight w:val="none"/>
        </w:rPr>
        <w:t>对非实名</w:t>
      </w:r>
      <w:r>
        <w:rPr>
          <w:rFonts w:hint="eastAsia"/>
          <w:color w:val="auto"/>
          <w:szCs w:val="22"/>
          <w:highlight w:val="none"/>
          <w:lang w:val="en-US" w:eastAsia="zh-CN"/>
        </w:rPr>
        <w:t>并书面</w:t>
      </w:r>
      <w:r>
        <w:rPr>
          <w:rFonts w:hint="eastAsia"/>
          <w:color w:val="auto"/>
          <w:szCs w:val="22"/>
          <w:highlight w:val="none"/>
        </w:rPr>
        <w:t>提出的异议申请，字保委不予受理。</w:t>
      </w:r>
    </w:p>
    <w:p w14:paraId="02A27E27">
      <w:pPr>
        <w:pStyle w:val="82"/>
        <w:numPr>
          <w:ilvl w:val="2"/>
          <w:numId w:val="6"/>
        </w:numPr>
        <w:ind w:left="567"/>
        <w:outlineLvl w:val="1"/>
        <w:rPr>
          <w:rFonts w:hint="eastAsia" w:hAnsi="黑体"/>
          <w:color w:val="auto"/>
          <w:highlight w:val="none"/>
        </w:rPr>
      </w:pPr>
      <w:bookmarkStart w:id="138" w:name="_Toc14630"/>
      <w:bookmarkStart w:id="139" w:name="_Toc9000"/>
      <w:r>
        <w:rPr>
          <w:rFonts w:hint="eastAsia" w:hAnsi="黑体"/>
          <w:color w:val="auto"/>
          <w:highlight w:val="none"/>
        </w:rPr>
        <w:t xml:space="preserve"> 复议</w:t>
      </w:r>
      <w:bookmarkEnd w:id="138"/>
      <w:bookmarkEnd w:id="139"/>
    </w:p>
    <w:p w14:paraId="3D7CC41F">
      <w:pPr>
        <w:pStyle w:val="26"/>
        <w:rPr>
          <w:rFonts w:hint="eastAsia"/>
          <w:color w:val="auto"/>
          <w:szCs w:val="22"/>
          <w:highlight w:val="none"/>
        </w:rPr>
      </w:pPr>
      <w:r>
        <w:rPr>
          <w:rFonts w:hint="eastAsia"/>
          <w:color w:val="auto"/>
          <w:szCs w:val="22"/>
          <w:highlight w:val="none"/>
        </w:rPr>
        <w:t>字保委应自收到异议或申诉材料之日起10个工作日内，由秘书处对有关材料进行调查核实，提出处理意见报字保委复议裁决。</w:t>
      </w:r>
    </w:p>
    <w:p w14:paraId="4373211F">
      <w:pPr>
        <w:pStyle w:val="26"/>
        <w:rPr>
          <w:rFonts w:hint="eastAsia"/>
          <w:color w:val="auto"/>
          <w:szCs w:val="22"/>
          <w:highlight w:val="none"/>
        </w:rPr>
      </w:pPr>
      <w:r>
        <w:rPr>
          <w:rFonts w:hint="eastAsia"/>
          <w:color w:val="auto"/>
          <w:szCs w:val="22"/>
          <w:highlight w:val="none"/>
        </w:rPr>
        <w:t>字保委复议裁决时，应有</w:t>
      </w:r>
      <w:r>
        <w:rPr>
          <w:rFonts w:hint="eastAsia"/>
          <w:color w:val="auto"/>
          <w:szCs w:val="22"/>
          <w:highlight w:val="none"/>
          <w:lang w:val="en-US" w:eastAsia="zh-CN"/>
        </w:rPr>
        <w:t>四分之三</w:t>
      </w:r>
      <w:r>
        <w:rPr>
          <w:rFonts w:hint="eastAsia"/>
          <w:color w:val="auto"/>
          <w:szCs w:val="22"/>
          <w:highlight w:val="none"/>
        </w:rPr>
        <w:t>以上委员出席（情况特殊的，也可采用通讯形式进行），异议成立或申诉成立需获得三分之二以上出席委员表决通过。字保委应自收到异议材料、申诉材料之日起45个工作日内，将复议裁决结果书面通知当事人。</w:t>
      </w:r>
    </w:p>
    <w:p w14:paraId="39E03669">
      <w:pPr>
        <w:pStyle w:val="82"/>
        <w:ind w:left="0" w:firstLine="0"/>
        <w:outlineLvl w:val="1"/>
        <w:rPr>
          <w:rFonts w:ascii="Times New Roman"/>
          <w:color w:val="auto"/>
          <w:highlight w:val="none"/>
        </w:rPr>
      </w:pPr>
      <w:bookmarkStart w:id="140" w:name="_Toc16648"/>
      <w:bookmarkStart w:id="141" w:name="_Toc31458"/>
      <w:bookmarkStart w:id="142" w:name="_Toc28465"/>
      <w:r>
        <w:rPr>
          <w:rFonts w:ascii="Times New Roman"/>
          <w:color w:val="auto"/>
          <w:highlight w:val="none"/>
        </w:rPr>
        <w:t>公告</w:t>
      </w:r>
      <w:bookmarkEnd w:id="140"/>
      <w:bookmarkEnd w:id="141"/>
      <w:bookmarkEnd w:id="142"/>
      <w:r>
        <w:rPr>
          <w:rFonts w:hint="eastAsia" w:ascii="Times New Roman"/>
          <w:color w:val="auto"/>
          <w:highlight w:val="none"/>
        </w:rPr>
        <w:t>与颁证</w:t>
      </w:r>
    </w:p>
    <w:p w14:paraId="00E593A3">
      <w:pPr>
        <w:pStyle w:val="26"/>
        <w:rPr>
          <w:rFonts w:hint="eastAsia"/>
          <w:color w:val="auto"/>
          <w:szCs w:val="22"/>
          <w:highlight w:val="none"/>
        </w:rPr>
      </w:pPr>
      <w:r>
        <w:rPr>
          <w:rFonts w:hint="eastAsia"/>
          <w:color w:val="auto"/>
          <w:szCs w:val="22"/>
          <w:highlight w:val="none"/>
        </w:rPr>
        <w:t>经公示无异议或异议不成立的字号，由字保委正式发布广东省知名字号的公告，并向申请人颁发统一制作的《广东省知名字号证书》。</w:t>
      </w:r>
    </w:p>
    <w:p w14:paraId="31014C23">
      <w:pPr>
        <w:pStyle w:val="109"/>
        <w:outlineLvl w:val="0"/>
        <w:rPr>
          <w:rFonts w:hint="eastAsia"/>
          <w:color w:val="auto"/>
          <w:szCs w:val="22"/>
          <w:highlight w:val="none"/>
        </w:rPr>
      </w:pPr>
      <w:bookmarkStart w:id="143" w:name="_Toc7012"/>
      <w:bookmarkStart w:id="144" w:name="_Toc30933"/>
      <w:bookmarkStart w:id="145" w:name="_Toc7313"/>
      <w:bookmarkStart w:id="146" w:name="_Toc21523"/>
      <w:bookmarkStart w:id="147" w:name="_Toc1027"/>
      <w:r>
        <w:rPr>
          <w:rFonts w:hint="eastAsia"/>
          <w:color w:val="auto"/>
          <w:szCs w:val="22"/>
          <w:highlight w:val="none"/>
          <w:lang w:val="en-US" w:eastAsia="zh-CN"/>
        </w:rPr>
        <w:t>知名字号的</w:t>
      </w:r>
      <w:r>
        <w:rPr>
          <w:rFonts w:hint="eastAsia"/>
          <w:color w:val="auto"/>
          <w:szCs w:val="22"/>
          <w:highlight w:val="none"/>
          <w:lang w:eastAsia="zh-Hans"/>
        </w:rPr>
        <w:t>管理和运用</w:t>
      </w:r>
    </w:p>
    <w:p w14:paraId="664F2E92">
      <w:pPr>
        <w:pStyle w:val="82"/>
        <w:ind w:left="0" w:firstLine="0"/>
        <w:outlineLvl w:val="1"/>
        <w:rPr>
          <w:rFonts w:hAnsi="黑体" w:cs="黑体"/>
          <w:color w:val="auto"/>
          <w:highlight w:val="none"/>
        </w:rPr>
      </w:pPr>
      <w:bookmarkStart w:id="148" w:name="_Toc10174"/>
      <w:bookmarkStart w:id="149" w:name="_Toc15560"/>
      <w:bookmarkStart w:id="150" w:name="_Toc10220"/>
      <w:bookmarkStart w:id="151" w:name="_Toc15868"/>
      <w:bookmarkStart w:id="152" w:name="_Toc22335"/>
      <w:r>
        <w:rPr>
          <w:rFonts w:hint="eastAsia" w:hAnsi="黑体" w:cs="黑体"/>
          <w:color w:val="auto"/>
          <w:highlight w:val="none"/>
        </w:rPr>
        <w:t>有效期与延续</w:t>
      </w:r>
    </w:p>
    <w:p w14:paraId="2259E838">
      <w:pPr>
        <w:pStyle w:val="105"/>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知名</w:t>
      </w:r>
      <w:r>
        <w:rPr>
          <w:rFonts w:hint="eastAsia" w:ascii="宋体" w:hAnsi="宋体" w:eastAsia="宋体" w:cs="宋体"/>
          <w:color w:val="auto"/>
          <w:szCs w:val="22"/>
          <w:highlight w:val="none"/>
          <w:lang w:val="en-US" w:eastAsia="zh-CN"/>
        </w:rPr>
        <w:t>字号</w:t>
      </w:r>
      <w:r>
        <w:rPr>
          <w:rFonts w:hint="eastAsia" w:ascii="宋体" w:hAnsi="宋体" w:eastAsia="宋体" w:cs="宋体"/>
          <w:color w:val="auto"/>
          <w:szCs w:val="22"/>
          <w:highlight w:val="none"/>
        </w:rPr>
        <w:t>有效期为</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年，自公告之日起计算。</w:t>
      </w:r>
    </w:p>
    <w:p w14:paraId="2640C322">
      <w:pPr>
        <w:pStyle w:val="105"/>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有效期届满前</w:t>
      </w:r>
      <w:r>
        <w:rPr>
          <w:rFonts w:hint="eastAsia" w:ascii="宋体" w:hAnsi="宋体" w:eastAsia="宋体" w:cs="宋体"/>
          <w:color w:val="auto"/>
          <w:szCs w:val="22"/>
          <w:highlight w:val="none"/>
          <w:lang w:val="en-US" w:eastAsia="zh-CN"/>
        </w:rPr>
        <w:t>六</w:t>
      </w:r>
      <w:r>
        <w:rPr>
          <w:rFonts w:hint="eastAsia" w:ascii="宋体" w:hAnsi="宋体" w:eastAsia="宋体" w:cs="宋体"/>
          <w:color w:val="auto"/>
          <w:szCs w:val="22"/>
          <w:highlight w:val="none"/>
        </w:rPr>
        <w:t>个月内，</w:t>
      </w:r>
      <w:r>
        <w:rPr>
          <w:rFonts w:hint="eastAsia" w:ascii="宋体" w:hAnsi="宋体" w:eastAsia="宋体" w:cs="宋体"/>
          <w:color w:val="auto"/>
          <w:szCs w:val="22"/>
          <w:highlight w:val="none"/>
          <w:lang w:val="en-US" w:eastAsia="zh-CN"/>
        </w:rPr>
        <w:t>知名字号申请</w:t>
      </w:r>
      <w:r>
        <w:rPr>
          <w:rFonts w:hint="eastAsia" w:ascii="宋体" w:hAnsi="宋体" w:eastAsia="宋体" w:cs="宋体"/>
          <w:color w:val="auto"/>
          <w:szCs w:val="22"/>
          <w:highlight w:val="none"/>
        </w:rPr>
        <w:t>人可按照字保委的要求申请延续。经审核符合条件的，有效期延续</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年。</w:t>
      </w:r>
    </w:p>
    <w:p w14:paraId="6A1CC99F">
      <w:pPr>
        <w:pStyle w:val="82"/>
        <w:ind w:left="0" w:firstLine="0"/>
        <w:outlineLvl w:val="1"/>
        <w:rPr>
          <w:rFonts w:hAnsi="黑体" w:cs="黑体"/>
          <w:color w:val="auto"/>
          <w:highlight w:val="none"/>
        </w:rPr>
      </w:pPr>
      <w:r>
        <w:rPr>
          <w:rFonts w:hint="eastAsia" w:hAnsi="黑体" w:cs="黑体"/>
          <w:color w:val="auto"/>
          <w:highlight w:val="none"/>
        </w:rPr>
        <w:t>动态管理</w:t>
      </w:r>
      <w:bookmarkEnd w:id="148"/>
      <w:bookmarkEnd w:id="149"/>
      <w:bookmarkEnd w:id="150"/>
      <w:bookmarkEnd w:id="151"/>
      <w:bookmarkEnd w:id="152"/>
    </w:p>
    <w:p w14:paraId="7778C5A4">
      <w:pPr>
        <w:pStyle w:val="105"/>
        <w:numPr>
          <w:ilvl w:val="2"/>
          <w:numId w:val="6"/>
        </w:numPr>
        <w:spacing w:before="0" w:beforeLines="0" w:after="0" w:afterLines="0"/>
        <w:ind w:left="0" w:firstLine="0"/>
        <w:rPr>
          <w:rFonts w:hint="eastAsia" w:ascii="宋体" w:hAnsi="宋体" w:eastAsia="宋体" w:cs="宋体"/>
          <w:color w:val="auto"/>
          <w:highlight w:val="none"/>
        </w:rPr>
      </w:pPr>
      <w:r>
        <w:rPr>
          <w:rFonts w:hint="eastAsia" w:ascii="宋体" w:hAnsi="宋体" w:eastAsia="宋体" w:cs="宋体"/>
          <w:color w:val="auto"/>
          <w:highlight w:val="none"/>
        </w:rPr>
        <w:t>字保委应根据知名字号发展状况和广东省字号保护工作实际需求，调整</w:t>
      </w:r>
      <w:r>
        <w:rPr>
          <w:rFonts w:hint="eastAsia" w:ascii="宋体" w:hAnsi="宋体" w:eastAsia="宋体" w:cs="宋体"/>
          <w:color w:val="auto"/>
          <w:highlight w:val="none"/>
          <w:lang w:val="en-US" w:eastAsia="zh-CN"/>
        </w:rPr>
        <w:t>知名字号的存续和撤销知名字号</w:t>
      </w:r>
      <w:r>
        <w:rPr>
          <w:rFonts w:hint="eastAsia" w:ascii="宋体" w:hAnsi="宋体" w:eastAsia="宋体" w:cs="宋体"/>
          <w:color w:val="auto"/>
          <w:highlight w:val="none"/>
        </w:rPr>
        <w:t>。字保委应及时将知名字号的调整情况向社会公告，并告知相关字号</w:t>
      </w:r>
      <w:r>
        <w:rPr>
          <w:rFonts w:hint="eastAsia" w:ascii="宋体" w:hAnsi="宋体" w:eastAsia="宋体" w:cs="宋体"/>
          <w:color w:val="auto"/>
          <w:highlight w:val="none"/>
          <w:lang w:val="en-US" w:eastAsia="zh-CN"/>
        </w:rPr>
        <w:t>申请人</w:t>
      </w:r>
      <w:r>
        <w:rPr>
          <w:rFonts w:hint="eastAsia" w:ascii="宋体" w:hAnsi="宋体" w:eastAsia="宋体" w:cs="宋体"/>
          <w:color w:val="auto"/>
          <w:highlight w:val="none"/>
        </w:rPr>
        <w:t>。</w:t>
      </w:r>
    </w:p>
    <w:p w14:paraId="7652449A">
      <w:pPr>
        <w:pStyle w:val="105"/>
        <w:numPr>
          <w:ilvl w:val="2"/>
          <w:numId w:val="6"/>
        </w:numPr>
        <w:spacing w:before="0" w:beforeLines="0" w:after="0" w:afterLines="0"/>
        <w:ind w:left="0" w:firstLine="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知名</w:t>
      </w:r>
      <w:r>
        <w:rPr>
          <w:rFonts w:hint="eastAsia" w:ascii="宋体" w:hAnsi="宋体" w:eastAsia="宋体" w:cs="宋体"/>
          <w:color w:val="auto"/>
          <w:highlight w:val="none"/>
        </w:rPr>
        <w:t>字号或其</w:t>
      </w:r>
      <w:r>
        <w:rPr>
          <w:rFonts w:hint="eastAsia" w:ascii="宋体" w:hAnsi="宋体" w:eastAsia="宋体" w:cs="宋体"/>
          <w:color w:val="auto"/>
          <w:highlight w:val="none"/>
          <w:lang w:val="en-US" w:eastAsia="zh-CN"/>
        </w:rPr>
        <w:t>申请人</w:t>
      </w:r>
      <w:r>
        <w:rPr>
          <w:rFonts w:hint="eastAsia" w:ascii="宋体" w:hAnsi="宋体" w:eastAsia="宋体" w:cs="宋体"/>
          <w:color w:val="auto"/>
          <w:highlight w:val="none"/>
        </w:rPr>
        <w:t>发生以下情形之一的，</w:t>
      </w:r>
      <w:r>
        <w:rPr>
          <w:rFonts w:hint="eastAsia" w:ascii="宋体" w:hAnsi="宋体" w:eastAsia="宋体" w:cs="宋体"/>
          <w:color w:val="auto"/>
        </w:rPr>
        <w:t>任何单位或个人可向“字保委”提出撤销申请，“字保委”也可主动撤销其知名字号并公告：</w:t>
      </w:r>
    </w:p>
    <w:p w14:paraId="2A93136C">
      <w:pPr>
        <w:pStyle w:val="26"/>
        <w:numPr>
          <w:ilvl w:val="0"/>
          <w:numId w:val="15"/>
        </w:numPr>
        <w:ind w:firstLineChars="0"/>
        <w:rPr>
          <w:rFonts w:hint="eastAsia"/>
          <w:color w:val="auto"/>
          <w:highlight w:val="none"/>
        </w:rPr>
      </w:pPr>
      <w:r>
        <w:rPr>
          <w:rFonts w:hint="eastAsia"/>
          <w:color w:val="auto"/>
          <w:highlight w:val="none"/>
        </w:rPr>
        <w:t>企业主体资格依法终止的；</w:t>
      </w:r>
    </w:p>
    <w:p w14:paraId="4221EFD1">
      <w:pPr>
        <w:pStyle w:val="26"/>
        <w:numPr>
          <w:ilvl w:val="0"/>
          <w:numId w:val="15"/>
        </w:numPr>
        <w:ind w:firstLineChars="0"/>
        <w:rPr>
          <w:rFonts w:hint="eastAsia"/>
          <w:color w:val="auto"/>
          <w:highlight w:val="none"/>
        </w:rPr>
      </w:pPr>
      <w:r>
        <w:rPr>
          <w:rFonts w:hint="eastAsia"/>
          <w:color w:val="auto"/>
          <w:highlight w:val="none"/>
        </w:rPr>
        <w:t>未按规定申请延续或审核不符合延续条件的；</w:t>
      </w:r>
    </w:p>
    <w:p w14:paraId="3B0370DC">
      <w:pPr>
        <w:pStyle w:val="26"/>
        <w:numPr>
          <w:ilvl w:val="0"/>
          <w:numId w:val="15"/>
        </w:numPr>
        <w:ind w:firstLineChars="0"/>
        <w:rPr>
          <w:rFonts w:hint="eastAsia"/>
          <w:color w:val="auto"/>
          <w:highlight w:val="none"/>
        </w:rPr>
      </w:pPr>
      <w:r>
        <w:rPr>
          <w:rFonts w:hint="eastAsia"/>
          <w:color w:val="auto"/>
          <w:highlight w:val="none"/>
        </w:rPr>
        <w:t>提交虚假材料或以其他欺诈手段骗取</w:t>
      </w:r>
      <w:r>
        <w:rPr>
          <w:rFonts w:hint="eastAsia"/>
          <w:color w:val="auto"/>
          <w:highlight w:val="none"/>
          <w:lang w:val="en-US" w:eastAsia="zh-CN"/>
        </w:rPr>
        <w:t>知名字号证书</w:t>
      </w:r>
      <w:r>
        <w:rPr>
          <w:rFonts w:hint="eastAsia"/>
          <w:color w:val="auto"/>
          <w:highlight w:val="none"/>
        </w:rPr>
        <w:t>的；</w:t>
      </w:r>
    </w:p>
    <w:p w14:paraId="0725D977">
      <w:pPr>
        <w:pStyle w:val="26"/>
        <w:numPr>
          <w:ilvl w:val="0"/>
          <w:numId w:val="15"/>
        </w:numPr>
        <w:ind w:firstLineChars="0"/>
        <w:rPr>
          <w:rFonts w:hint="eastAsia"/>
          <w:color w:val="auto"/>
          <w:highlight w:val="none"/>
        </w:rPr>
      </w:pPr>
      <w:r>
        <w:rPr>
          <w:rFonts w:hint="eastAsia"/>
          <w:color w:val="auto"/>
          <w:highlight w:val="none"/>
        </w:rPr>
        <w:t>企业名称变更登记后不再使用该</w:t>
      </w:r>
      <w:r>
        <w:rPr>
          <w:rFonts w:hint="eastAsia"/>
          <w:color w:val="auto"/>
          <w:highlight w:val="none"/>
          <w:lang w:val="en-US" w:eastAsia="zh-CN"/>
        </w:rPr>
        <w:t>知名字</w:t>
      </w:r>
      <w:r>
        <w:rPr>
          <w:rFonts w:hint="eastAsia"/>
          <w:color w:val="auto"/>
          <w:highlight w:val="none"/>
        </w:rPr>
        <w:t>号的；</w:t>
      </w:r>
    </w:p>
    <w:p w14:paraId="738F6A46">
      <w:pPr>
        <w:pStyle w:val="26"/>
        <w:numPr>
          <w:ilvl w:val="0"/>
          <w:numId w:val="15"/>
        </w:numPr>
        <w:ind w:left="420" w:firstLine="0" w:firstLineChars="0"/>
        <w:rPr>
          <w:rFonts w:hint="eastAsia"/>
          <w:color w:val="auto"/>
          <w:highlight w:val="none"/>
        </w:rPr>
      </w:pPr>
      <w:r>
        <w:rPr>
          <w:rFonts w:hint="eastAsia"/>
          <w:color w:val="auto"/>
          <w:highlight w:val="none"/>
          <w:lang w:val="en-US" w:eastAsia="zh-CN"/>
        </w:rPr>
        <w:t>企业主体被行政部门列为“异常经营”“严重违法”的；</w:t>
      </w:r>
    </w:p>
    <w:p w14:paraId="645AD57F">
      <w:pPr>
        <w:pStyle w:val="26"/>
        <w:numPr>
          <w:ilvl w:val="0"/>
          <w:numId w:val="15"/>
        </w:numPr>
        <w:ind w:left="420" w:firstLine="0" w:firstLineChars="0"/>
        <w:rPr>
          <w:rFonts w:hint="eastAsia"/>
          <w:color w:val="auto"/>
          <w:highlight w:val="none"/>
        </w:rPr>
      </w:pPr>
      <w:r>
        <w:rPr>
          <w:rFonts w:hint="eastAsia"/>
          <w:color w:val="auto"/>
          <w:highlight w:val="none"/>
          <w:lang w:val="en-US" w:eastAsia="zh-CN"/>
        </w:rPr>
        <w:t>应撤销的其他情形</w:t>
      </w:r>
      <w:r>
        <w:rPr>
          <w:rFonts w:hint="eastAsia"/>
          <w:color w:val="auto"/>
          <w:highlight w:val="none"/>
        </w:rPr>
        <w:t>。</w:t>
      </w:r>
    </w:p>
    <w:p w14:paraId="30D31003">
      <w:pPr>
        <w:pStyle w:val="82"/>
        <w:ind w:left="0" w:firstLine="0"/>
        <w:outlineLvl w:val="1"/>
        <w:rPr>
          <w:rFonts w:hint="eastAsia" w:hAnsi="黑体" w:cs="Arial"/>
          <w:color w:val="auto"/>
          <w:szCs w:val="20"/>
          <w:highlight w:val="none"/>
        </w:rPr>
      </w:pPr>
      <w:r>
        <w:rPr>
          <w:rFonts w:hint="eastAsia" w:hAnsi="黑体" w:cs="黑体"/>
          <w:color w:val="auto"/>
          <w:highlight w:val="none"/>
        </w:rPr>
        <w:t>纳入证明与标志的使用</w:t>
      </w:r>
    </w:p>
    <w:p w14:paraId="084D3762">
      <w:pPr>
        <w:ind w:firstLine="420" w:firstLineChars="200"/>
        <w:rPr>
          <w:rFonts w:hint="eastAsia" w:ascii="宋体" w:hAnsi="宋体" w:cs="宋体"/>
          <w:color w:val="auto"/>
          <w:szCs w:val="20"/>
          <w:highlight w:val="none"/>
        </w:rPr>
      </w:pPr>
      <w:r>
        <w:rPr>
          <w:rFonts w:hint="eastAsia" w:ascii="宋体" w:hAnsi="宋体" w:cs="宋体"/>
          <w:color w:val="auto"/>
          <w:szCs w:val="20"/>
          <w:highlight w:val="none"/>
          <w:lang w:val="en-US" w:eastAsia="zh-CN"/>
        </w:rPr>
        <w:t>知名字号证书</w:t>
      </w:r>
      <w:r>
        <w:rPr>
          <w:rFonts w:hint="eastAsia" w:ascii="宋体" w:hAnsi="宋体" w:cs="宋体"/>
          <w:color w:val="auto"/>
          <w:szCs w:val="20"/>
          <w:highlight w:val="none"/>
        </w:rPr>
        <w:t>和标志的使用应符合以下要求：</w:t>
      </w:r>
    </w:p>
    <w:p w14:paraId="3E003A75">
      <w:pPr>
        <w:pStyle w:val="26"/>
        <w:numPr>
          <w:ilvl w:val="0"/>
          <w:numId w:val="16"/>
        </w:numPr>
        <w:tabs>
          <w:tab w:val="clear" w:pos="4201"/>
          <w:tab w:val="clear" w:pos="9298"/>
        </w:tabs>
        <w:autoSpaceDE/>
        <w:autoSpaceDN/>
        <w:ind w:firstLineChars="0"/>
        <w:rPr>
          <w:rFonts w:hint="eastAsia" w:hAnsi="宋体"/>
          <w:color w:val="auto"/>
          <w:szCs w:val="22"/>
          <w:highlight w:val="none"/>
        </w:rPr>
      </w:pPr>
      <w:r>
        <w:rPr>
          <w:rFonts w:hint="eastAsia"/>
          <w:color w:val="auto"/>
          <w:highlight w:val="none"/>
          <w:lang w:val="en-US" w:eastAsia="zh-CN"/>
        </w:rPr>
        <w:t>获得《</w:t>
      </w:r>
      <w:r>
        <w:rPr>
          <w:rFonts w:hint="eastAsia"/>
          <w:color w:val="auto"/>
          <w:szCs w:val="22"/>
          <w:highlight w:val="none"/>
        </w:rPr>
        <w:t>广东省知名字号证书》</w:t>
      </w:r>
      <w:r>
        <w:rPr>
          <w:rFonts w:hint="eastAsia"/>
          <w:color w:val="auto"/>
          <w:szCs w:val="22"/>
          <w:highlight w:val="none"/>
          <w:lang w:val="en-US" w:eastAsia="zh-CN"/>
        </w:rPr>
        <w:t>的申请人</w:t>
      </w:r>
      <w:r>
        <w:rPr>
          <w:rFonts w:hint="eastAsia" w:hAnsi="宋体"/>
          <w:color w:val="auto"/>
          <w:szCs w:val="22"/>
          <w:highlight w:val="none"/>
        </w:rPr>
        <w:t>可以在其经营场所、产品包装、广告宣传、商业文件等</w:t>
      </w:r>
      <w:r>
        <w:rPr>
          <w:rFonts w:hint="eastAsia" w:hAnsi="宋体"/>
          <w:color w:val="auto"/>
          <w:szCs w:val="22"/>
          <w:highlight w:val="none"/>
          <w:lang w:val="en-US" w:eastAsia="zh-CN"/>
        </w:rPr>
        <w:t>场景</w:t>
      </w:r>
      <w:r>
        <w:rPr>
          <w:rFonts w:hint="eastAsia" w:hAnsi="宋体"/>
          <w:color w:val="auto"/>
          <w:szCs w:val="22"/>
          <w:highlight w:val="none"/>
        </w:rPr>
        <w:t>，规范使用“广东省知名字号”字样及相关证书、标志，但应在有效期内使用；</w:t>
      </w:r>
    </w:p>
    <w:p w14:paraId="491CCF83">
      <w:pPr>
        <w:pStyle w:val="26"/>
        <w:numPr>
          <w:ilvl w:val="0"/>
          <w:numId w:val="16"/>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使用时不得进行虚假宣传，不得暗示其未</w:t>
      </w:r>
      <w:r>
        <w:rPr>
          <w:rFonts w:hint="eastAsia" w:hAnsi="宋体"/>
          <w:color w:val="auto"/>
          <w:szCs w:val="22"/>
          <w:highlight w:val="none"/>
          <w:lang w:val="en-US" w:eastAsia="zh-CN"/>
        </w:rPr>
        <w:t>被认定为知名字号</w:t>
      </w:r>
      <w:r>
        <w:rPr>
          <w:rFonts w:hint="eastAsia" w:hAnsi="宋体"/>
          <w:color w:val="auto"/>
          <w:szCs w:val="22"/>
          <w:highlight w:val="none"/>
        </w:rPr>
        <w:t>的其他字号也享有同等资格，不得损害其他市场主体的合法权益或误导公众；</w:t>
      </w:r>
    </w:p>
    <w:p w14:paraId="7B9E713F">
      <w:pPr>
        <w:pStyle w:val="26"/>
        <w:numPr>
          <w:ilvl w:val="0"/>
          <w:numId w:val="16"/>
        </w:numPr>
        <w:tabs>
          <w:tab w:val="clear" w:pos="4201"/>
          <w:tab w:val="clear" w:pos="9298"/>
        </w:tabs>
        <w:autoSpaceDE/>
        <w:autoSpaceDN/>
        <w:ind w:firstLineChars="0"/>
        <w:rPr>
          <w:rFonts w:hint="eastAsia" w:hAnsi="宋体"/>
          <w:color w:val="auto"/>
          <w:szCs w:val="22"/>
          <w:highlight w:val="none"/>
        </w:rPr>
      </w:pPr>
      <w:r>
        <w:rPr>
          <w:rFonts w:hint="eastAsia" w:hAnsi="宋体"/>
          <w:color w:val="auto"/>
          <w:szCs w:val="22"/>
          <w:highlight w:val="none"/>
        </w:rPr>
        <w:t>《广东省知名字号证书》及其相关信息，可作为字号具有较高知名度的</w:t>
      </w:r>
      <w:r>
        <w:rPr>
          <w:rFonts w:hint="eastAsia" w:hAnsi="宋体"/>
          <w:color w:val="auto"/>
          <w:szCs w:val="22"/>
          <w:highlight w:val="none"/>
          <w:lang w:val="en-US" w:eastAsia="zh-CN"/>
        </w:rPr>
        <w:t>证明或</w:t>
      </w:r>
      <w:r>
        <w:rPr>
          <w:rFonts w:hint="eastAsia" w:hAnsi="宋体"/>
          <w:color w:val="auto"/>
          <w:szCs w:val="22"/>
          <w:highlight w:val="none"/>
        </w:rPr>
        <w:t>初步证据，在商业活动、行政</w:t>
      </w:r>
      <w:r>
        <w:rPr>
          <w:rFonts w:hint="eastAsia" w:hAnsi="宋体"/>
          <w:color w:val="auto"/>
          <w:szCs w:val="22"/>
          <w:highlight w:val="none"/>
          <w:lang w:val="en-US" w:eastAsia="zh-CN"/>
        </w:rPr>
        <w:t>执法</w:t>
      </w:r>
      <w:r>
        <w:rPr>
          <w:rFonts w:hint="eastAsia" w:hAnsi="宋体"/>
          <w:color w:val="auto"/>
          <w:szCs w:val="22"/>
          <w:highlight w:val="none"/>
        </w:rPr>
        <w:t>、司法诉讼中向有关部门或机构提供参考；</w:t>
      </w:r>
    </w:p>
    <w:p w14:paraId="15410E98">
      <w:pPr>
        <w:pStyle w:val="26"/>
        <w:numPr>
          <w:ilvl w:val="0"/>
          <w:numId w:val="16"/>
        </w:numPr>
        <w:tabs>
          <w:tab w:val="clear" w:pos="4201"/>
          <w:tab w:val="clear" w:pos="9298"/>
        </w:tabs>
        <w:autoSpaceDE/>
        <w:autoSpaceDN/>
        <w:ind w:firstLineChars="0"/>
        <w:rPr>
          <w:rFonts w:hAnsi="宋体"/>
          <w:color w:val="auto"/>
          <w:szCs w:val="22"/>
          <w:highlight w:val="none"/>
        </w:rPr>
      </w:pPr>
      <w:r>
        <w:rPr>
          <w:rFonts w:hint="eastAsia" w:hAnsi="宋体"/>
          <w:color w:val="auto"/>
          <w:szCs w:val="22"/>
          <w:highlight w:val="none"/>
          <w:lang w:val="en-US" w:eastAsia="zh-CN"/>
        </w:rPr>
        <w:t>知名</w:t>
      </w:r>
      <w:r>
        <w:rPr>
          <w:rFonts w:hint="eastAsia" w:hAnsi="宋体"/>
          <w:color w:val="auto"/>
          <w:szCs w:val="22"/>
          <w:highlight w:val="none"/>
        </w:rPr>
        <w:t>字号</w:t>
      </w:r>
      <w:r>
        <w:rPr>
          <w:rFonts w:hint="eastAsia" w:hAnsi="宋体"/>
          <w:color w:val="auto"/>
          <w:szCs w:val="22"/>
          <w:highlight w:val="none"/>
          <w:lang w:val="en-US" w:eastAsia="zh-CN"/>
        </w:rPr>
        <w:t>申请人</w:t>
      </w:r>
      <w:r>
        <w:rPr>
          <w:rFonts w:hint="eastAsia" w:hAnsi="宋体"/>
          <w:color w:val="auto"/>
          <w:szCs w:val="22"/>
          <w:highlight w:val="none"/>
        </w:rPr>
        <w:t>，</w:t>
      </w:r>
      <w:r>
        <w:rPr>
          <w:rFonts w:hint="eastAsia" w:hAnsi="宋体"/>
          <w:color w:val="auto"/>
          <w:szCs w:val="22"/>
          <w:highlight w:val="none"/>
          <w:lang w:val="en-US" w:eastAsia="zh-CN"/>
        </w:rPr>
        <w:t>可</w:t>
      </w:r>
      <w:r>
        <w:rPr>
          <w:rFonts w:hint="eastAsia" w:hAnsi="宋体"/>
          <w:color w:val="auto"/>
          <w:szCs w:val="22"/>
          <w:highlight w:val="none"/>
        </w:rPr>
        <w:t>同时向广东商标协会申请“溯源认证码</w:t>
      </w:r>
      <w:r>
        <w:rPr>
          <w:rFonts w:hint="eastAsia" w:hAnsi="宋体"/>
          <w:color w:val="auto"/>
          <w:szCs w:val="22"/>
          <w:highlight w:val="none"/>
          <w:lang w:eastAsia="zh-CN"/>
        </w:rPr>
        <w:t>”“</w:t>
      </w:r>
      <w:r>
        <w:rPr>
          <w:rFonts w:hint="eastAsia" w:hAnsi="宋体"/>
          <w:color w:val="auto"/>
          <w:szCs w:val="22"/>
          <w:highlight w:val="none"/>
        </w:rPr>
        <w:t>溯源认证码”集合</w:t>
      </w:r>
      <w:r>
        <w:rPr>
          <w:rFonts w:hint="eastAsia" w:hAnsi="宋体"/>
          <w:color w:val="auto"/>
          <w:szCs w:val="22"/>
          <w:highlight w:val="none"/>
          <w:lang w:val="en-US" w:eastAsia="zh-CN"/>
        </w:rPr>
        <w:t>广东省知名字号</w:t>
      </w:r>
      <w:r>
        <w:rPr>
          <w:rFonts w:hint="eastAsia" w:hAnsi="宋体"/>
          <w:color w:val="auto"/>
          <w:szCs w:val="22"/>
          <w:highlight w:val="none"/>
        </w:rPr>
        <w:t>背景、意义以及</w:t>
      </w:r>
      <w:r>
        <w:rPr>
          <w:rFonts w:hint="eastAsia" w:hAnsi="宋体"/>
          <w:color w:val="auto"/>
          <w:szCs w:val="22"/>
          <w:highlight w:val="none"/>
          <w:lang w:val="en-US" w:eastAsia="zh-CN"/>
        </w:rPr>
        <w:t>知名</w:t>
      </w:r>
      <w:r>
        <w:rPr>
          <w:rFonts w:hint="eastAsia" w:hAnsi="宋体"/>
          <w:color w:val="auto"/>
          <w:szCs w:val="22"/>
          <w:highlight w:val="none"/>
        </w:rPr>
        <w:t>字号、</w:t>
      </w:r>
      <w:r>
        <w:rPr>
          <w:rFonts w:hint="eastAsia" w:hAnsi="宋体"/>
          <w:color w:val="auto"/>
          <w:szCs w:val="22"/>
          <w:highlight w:val="none"/>
          <w:lang w:val="en-US" w:eastAsia="zh-CN"/>
        </w:rPr>
        <w:t>申请</w:t>
      </w:r>
      <w:r>
        <w:rPr>
          <w:rFonts w:hint="eastAsia" w:hAnsi="宋体"/>
          <w:color w:val="auto"/>
          <w:szCs w:val="22"/>
          <w:highlight w:val="none"/>
        </w:rPr>
        <w:t>人、产品、纳入证明有效期等信息，可用于企业宣传资料、产品包装等相</w:t>
      </w:r>
      <w:r>
        <w:rPr>
          <w:rFonts w:hint="eastAsia" w:hAnsi="宋体"/>
          <w:color w:val="auto"/>
          <w:szCs w:val="22"/>
          <w:highlight w:val="none"/>
          <w:lang w:eastAsia="zh-CN"/>
        </w:rPr>
        <w:t>关</w:t>
      </w:r>
      <w:r>
        <w:rPr>
          <w:rFonts w:hint="eastAsia" w:hAnsi="宋体"/>
          <w:color w:val="auto"/>
          <w:szCs w:val="22"/>
          <w:highlight w:val="none"/>
        </w:rPr>
        <w:t>场景</w:t>
      </w:r>
      <w:r>
        <w:rPr>
          <w:rFonts w:hint="eastAsia" w:hAnsi="宋体"/>
          <w:color w:val="auto"/>
          <w:szCs w:val="22"/>
          <w:highlight w:val="none"/>
          <w:lang w:eastAsia="zh-CN"/>
        </w:rPr>
        <w:t>，方便企业宣传和消费者识别</w:t>
      </w:r>
      <w:r>
        <w:rPr>
          <w:rFonts w:hint="eastAsia" w:hAnsi="宋体"/>
          <w:color w:val="auto"/>
          <w:szCs w:val="22"/>
          <w:highlight w:val="none"/>
        </w:rPr>
        <w:t>；“溯源认证码”可用于字号</w:t>
      </w:r>
      <w:r>
        <w:rPr>
          <w:rFonts w:hint="eastAsia" w:hAnsi="宋体"/>
          <w:color w:val="auto"/>
          <w:szCs w:val="22"/>
          <w:highlight w:val="none"/>
          <w:lang w:val="en-US" w:eastAsia="zh-CN"/>
        </w:rPr>
        <w:t>申请人</w:t>
      </w:r>
      <w:r>
        <w:rPr>
          <w:rFonts w:hint="eastAsia" w:hAnsi="宋体"/>
          <w:color w:val="auto"/>
          <w:szCs w:val="22"/>
          <w:highlight w:val="none"/>
        </w:rPr>
        <w:t>、行政部门和司法机关快速举证和查证。溯源认证码仅作为</w:t>
      </w:r>
      <w:r>
        <w:rPr>
          <w:rFonts w:hint="eastAsia" w:hAnsi="宋体"/>
          <w:color w:val="auto"/>
          <w:szCs w:val="22"/>
          <w:highlight w:val="none"/>
          <w:lang w:val="en-US" w:eastAsia="zh-CN"/>
        </w:rPr>
        <w:t>知名字号</w:t>
      </w:r>
      <w:r>
        <w:rPr>
          <w:rFonts w:hint="eastAsia" w:hAnsi="宋体"/>
          <w:color w:val="auto"/>
          <w:szCs w:val="22"/>
          <w:highlight w:val="none"/>
        </w:rPr>
        <w:t>证明，企业滥用需自行承担法律责任</w:t>
      </w:r>
      <w:r>
        <w:rPr>
          <w:rFonts w:hint="eastAsia" w:hAnsi="宋体"/>
          <w:color w:val="auto"/>
          <w:szCs w:val="22"/>
          <w:highlight w:val="none"/>
          <w:lang w:eastAsia="zh-CN"/>
        </w:rPr>
        <w:t>。</w:t>
      </w:r>
    </w:p>
    <w:p w14:paraId="73E676A3">
      <w:pPr>
        <w:pStyle w:val="82"/>
        <w:ind w:left="0" w:firstLine="0"/>
        <w:outlineLvl w:val="1"/>
        <w:rPr>
          <w:rFonts w:hAnsi="黑体" w:cs="黑体"/>
          <w:color w:val="auto"/>
          <w:highlight w:val="none"/>
        </w:rPr>
      </w:pPr>
      <w:r>
        <w:rPr>
          <w:rFonts w:hint="eastAsia" w:ascii="宋体"/>
          <w:color w:val="auto"/>
          <w:szCs w:val="20"/>
          <w:highlight w:val="none"/>
        </w:rPr>
        <w:t xml:space="preserve"> 推广运用</w:t>
      </w:r>
      <w:r>
        <w:rPr>
          <w:rFonts w:hint="eastAsia" w:ascii="宋体"/>
          <w:color w:val="auto"/>
          <w:szCs w:val="20"/>
          <w:highlight w:val="none"/>
          <w:lang w:val="en-US" w:eastAsia="zh-CN"/>
        </w:rPr>
        <w:t>与保护</w:t>
      </w:r>
    </w:p>
    <w:p w14:paraId="0E089CB1">
      <w:pPr>
        <w:pStyle w:val="105"/>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广东商标协会通过官方网站、公众号、合作媒体等渠道，对</w:t>
      </w:r>
      <w:r>
        <w:rPr>
          <w:rFonts w:hint="eastAsia" w:ascii="宋体" w:hAnsi="宋体" w:eastAsia="宋体" w:cs="宋体"/>
          <w:color w:val="auto"/>
          <w:szCs w:val="22"/>
          <w:highlight w:val="none"/>
          <w:lang w:val="en-US" w:eastAsia="zh-CN"/>
        </w:rPr>
        <w:t>认定的</w:t>
      </w:r>
      <w:r>
        <w:rPr>
          <w:rFonts w:hint="eastAsia" w:ascii="宋体" w:hAnsi="宋体" w:eastAsia="宋体" w:cs="宋体"/>
          <w:color w:val="auto"/>
          <w:szCs w:val="22"/>
          <w:highlight w:val="none"/>
        </w:rPr>
        <w:t>知名字号进行宣传推广，提升其社会知名度和影响力。</w:t>
      </w:r>
    </w:p>
    <w:p w14:paraId="3631AA7F">
      <w:pPr>
        <w:pStyle w:val="105"/>
        <w:numPr>
          <w:ilvl w:val="2"/>
          <w:numId w:val="6"/>
        </w:numPr>
        <w:spacing w:before="0" w:beforeLines="0" w:after="0" w:afterLines="0"/>
        <w:ind w:left="0" w:firstLine="0"/>
        <w:rPr>
          <w:rFonts w:hint="default" w:ascii="宋体" w:hAnsi="宋体" w:eastAsia="宋体" w:cs="Times New Roman"/>
          <w:color w:val="auto"/>
          <w:sz w:val="18"/>
          <w:szCs w:val="16"/>
          <w:highlight w:val="none"/>
          <w:lang w:val="en-US" w:eastAsia="zh-Hans"/>
        </w:rPr>
      </w:pPr>
      <w:r>
        <w:rPr>
          <w:rFonts w:hint="eastAsia" w:ascii="宋体" w:hAnsi="宋体" w:eastAsia="宋体" w:cs="宋体"/>
          <w:color w:val="auto"/>
          <w:szCs w:val="22"/>
        </w:rPr>
        <w:t>知名字号、未经注册机关登记的</w:t>
      </w:r>
      <w:r>
        <w:rPr>
          <w:rFonts w:hint="eastAsia" w:ascii="宋体" w:hAnsi="宋体" w:eastAsia="宋体" w:cs="宋体"/>
          <w:color w:val="auto"/>
          <w:szCs w:val="22"/>
          <w:lang w:val="en-US" w:eastAsia="zh-CN"/>
        </w:rPr>
        <w:t>中国</w:t>
      </w:r>
      <w:r>
        <w:rPr>
          <w:rFonts w:hint="eastAsia" w:ascii="宋体" w:hAnsi="宋体" w:eastAsia="宋体" w:cs="宋体"/>
          <w:color w:val="auto"/>
          <w:szCs w:val="22"/>
        </w:rPr>
        <w:t>驰名商标和广东省重点商标保护名录纳入商标</w:t>
      </w:r>
      <w:r>
        <w:rPr>
          <w:rFonts w:hint="eastAsia" w:ascii="宋体" w:hAnsi="宋体" w:eastAsia="宋体" w:cs="宋体"/>
          <w:color w:val="auto"/>
          <w:szCs w:val="22"/>
          <w:lang w:val="en-US" w:eastAsia="zh-CN"/>
        </w:rPr>
        <w:t>的</w:t>
      </w:r>
      <w:r>
        <w:rPr>
          <w:rFonts w:hint="eastAsia" w:ascii="宋体" w:hAnsi="宋体" w:eastAsia="宋体" w:cs="宋体"/>
          <w:color w:val="auto"/>
          <w:szCs w:val="22"/>
        </w:rPr>
        <w:t>文字部分，为企业重要的知识产权，他人未经许可不得擅自将其作为字号进行登记。广东商标协会将评价认定的知名字号建立</w:t>
      </w:r>
      <w:r>
        <w:rPr>
          <w:rFonts w:hint="eastAsia"/>
          <w:color w:val="auto"/>
          <w:lang w:eastAsia="zh-CN"/>
        </w:rPr>
        <w:t>《</w:t>
      </w:r>
      <w:r>
        <w:rPr>
          <w:rFonts w:hint="eastAsia" w:ascii="宋体" w:hAnsi="宋体" w:eastAsia="宋体" w:cs="宋体"/>
          <w:color w:val="auto"/>
          <w:szCs w:val="22"/>
        </w:rPr>
        <w:t>广东省知名字号数据库</w:t>
      </w:r>
      <w:r>
        <w:rPr>
          <w:rFonts w:hint="eastAsia"/>
          <w:color w:val="auto"/>
          <w:lang w:eastAsia="zh-CN"/>
        </w:rPr>
        <w:t>》</w:t>
      </w:r>
      <w:r>
        <w:rPr>
          <w:rFonts w:hint="eastAsia" w:ascii="宋体" w:hAnsi="宋体" w:eastAsia="宋体" w:cs="宋体"/>
          <w:color w:val="auto"/>
          <w:szCs w:val="22"/>
        </w:rPr>
        <w:t>并进行维护</w:t>
      </w:r>
      <w:r>
        <w:rPr>
          <w:rFonts w:hint="eastAsia" w:ascii="宋体" w:hAnsi="宋体" w:eastAsia="宋体" w:cs="宋体"/>
          <w:color w:val="auto"/>
          <w:szCs w:val="22"/>
          <w:lang w:eastAsia="zh-CN"/>
        </w:rPr>
        <w:t>，</w:t>
      </w:r>
      <w:r>
        <w:rPr>
          <w:rFonts w:hint="eastAsia" w:ascii="宋体" w:hAnsi="宋体" w:eastAsia="宋体" w:cs="宋体"/>
          <w:color w:val="auto"/>
          <w:szCs w:val="22"/>
          <w:lang w:val="en-US" w:eastAsia="zh-CN"/>
        </w:rPr>
        <w:t>并</w:t>
      </w:r>
      <w:r>
        <w:rPr>
          <w:rFonts w:hint="eastAsia" w:ascii="宋体" w:hAnsi="宋体" w:eastAsia="宋体" w:cs="宋体"/>
          <w:color w:val="auto"/>
          <w:szCs w:val="22"/>
          <w:highlight w:val="none"/>
        </w:rPr>
        <w:t>通过官方网站或其他指定平台向社会公众</w:t>
      </w:r>
      <w:r>
        <w:rPr>
          <w:rFonts w:hint="eastAsia" w:ascii="宋体" w:hAnsi="宋体" w:eastAsia="宋体" w:cs="宋体"/>
          <w:color w:val="auto"/>
          <w:szCs w:val="22"/>
          <w:highlight w:val="none"/>
          <w:lang w:val="en-US" w:eastAsia="zh-CN"/>
        </w:rPr>
        <w:t>开放查询</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但</w:t>
      </w:r>
      <w:r>
        <w:rPr>
          <w:rFonts w:hint="eastAsia" w:ascii="宋体" w:hAnsi="宋体" w:eastAsia="宋体" w:cs="宋体"/>
          <w:color w:val="auto"/>
          <w:szCs w:val="22"/>
          <w:highlight w:val="none"/>
          <w:lang w:eastAsia="zh-CN"/>
        </w:rPr>
        <w:t>对涉及企业商业秘密或个人信息的数据需脱敏处理）</w:t>
      </w:r>
      <w:r>
        <w:rPr>
          <w:rFonts w:hint="eastAsia" w:ascii="宋体" w:hAnsi="宋体" w:eastAsia="宋体" w:cs="宋体"/>
          <w:color w:val="auto"/>
          <w:szCs w:val="22"/>
          <w:highlight w:val="none"/>
        </w:rPr>
        <w:t>。</w:t>
      </w:r>
    </w:p>
    <w:p w14:paraId="514490A7">
      <w:pPr>
        <w:pStyle w:val="105"/>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定期向广东省市场监管、</w:t>
      </w:r>
      <w:r>
        <w:rPr>
          <w:rFonts w:hint="eastAsia" w:ascii="宋体" w:hAnsi="宋体" w:eastAsia="宋体" w:cs="宋体"/>
          <w:color w:val="auto"/>
          <w:szCs w:val="22"/>
          <w:highlight w:val="none"/>
          <w:lang w:val="en-US" w:eastAsia="zh-CN"/>
        </w:rPr>
        <w:t>商务、工信、</w:t>
      </w:r>
      <w:r>
        <w:rPr>
          <w:rFonts w:hint="eastAsia" w:ascii="宋体" w:hAnsi="宋体" w:eastAsia="宋体" w:cs="宋体"/>
          <w:color w:val="auto"/>
          <w:szCs w:val="22"/>
          <w:highlight w:val="none"/>
        </w:rPr>
        <w:t>公安、海关等行政执法部门</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司法机关报送《广东省知名字号》及其数据库更新信息</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rPr>
        <w:t>未经注册机关登记的</w:t>
      </w:r>
      <w:r>
        <w:rPr>
          <w:rFonts w:hint="eastAsia" w:ascii="宋体" w:hAnsi="宋体" w:eastAsia="宋体" w:cs="宋体"/>
          <w:color w:val="auto"/>
          <w:szCs w:val="22"/>
          <w:lang w:val="en-US" w:eastAsia="zh-CN"/>
        </w:rPr>
        <w:t>中国</w:t>
      </w:r>
      <w:r>
        <w:rPr>
          <w:rFonts w:hint="eastAsia" w:ascii="宋体" w:hAnsi="宋体" w:eastAsia="宋体" w:cs="宋体"/>
          <w:color w:val="auto"/>
          <w:szCs w:val="22"/>
        </w:rPr>
        <w:t>驰名商标和广东省重点商标保护名录纳入商标</w:t>
      </w:r>
      <w:r>
        <w:rPr>
          <w:rFonts w:hint="eastAsia" w:ascii="宋体" w:hAnsi="宋体" w:eastAsia="宋体" w:cs="宋体"/>
          <w:color w:val="auto"/>
          <w:szCs w:val="22"/>
          <w:lang w:val="en-US" w:eastAsia="zh-CN"/>
        </w:rPr>
        <w:t>的</w:t>
      </w:r>
      <w:r>
        <w:rPr>
          <w:rFonts w:hint="eastAsia" w:ascii="宋体" w:hAnsi="宋体" w:eastAsia="宋体" w:cs="宋体"/>
          <w:color w:val="auto"/>
          <w:szCs w:val="22"/>
        </w:rPr>
        <w:t>文字部分</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请求保护</w:t>
      </w:r>
      <w:r>
        <w:rPr>
          <w:rFonts w:hint="eastAsia" w:ascii="宋体" w:hAnsi="宋体" w:eastAsia="宋体" w:cs="宋体"/>
          <w:color w:val="auto"/>
          <w:szCs w:val="22"/>
          <w:highlight w:val="none"/>
        </w:rPr>
        <w:t>。</w:t>
      </w:r>
    </w:p>
    <w:p w14:paraId="1955D509">
      <w:pPr>
        <w:pStyle w:val="105"/>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rPr>
        <w:t>广东商标协会为</w:t>
      </w:r>
      <w:r>
        <w:rPr>
          <w:rFonts w:hint="eastAsia" w:ascii="宋体" w:hAnsi="宋体" w:eastAsia="宋体" w:cs="宋体"/>
          <w:color w:val="auto"/>
          <w:szCs w:val="22"/>
          <w:highlight w:val="none"/>
          <w:lang w:val="en-US" w:eastAsia="zh-CN"/>
        </w:rPr>
        <w:t>认定</w:t>
      </w:r>
      <w:r>
        <w:rPr>
          <w:rFonts w:hint="eastAsia" w:ascii="宋体" w:hAnsi="宋体" w:eastAsia="宋体" w:cs="宋体"/>
          <w:color w:val="auto"/>
          <w:szCs w:val="22"/>
          <w:highlight w:val="none"/>
        </w:rPr>
        <w:t>的</w:t>
      </w:r>
      <w:r>
        <w:rPr>
          <w:rFonts w:hint="eastAsia" w:ascii="宋体" w:hAnsi="宋体" w:eastAsia="宋体" w:cs="宋体"/>
          <w:color w:val="auto"/>
          <w:szCs w:val="22"/>
          <w:highlight w:val="none"/>
          <w:lang w:val="en-US" w:eastAsia="zh-CN"/>
        </w:rPr>
        <w:t>知名字号</w:t>
      </w:r>
      <w:r>
        <w:rPr>
          <w:rFonts w:hint="eastAsia" w:ascii="宋体" w:hAnsi="宋体" w:eastAsia="宋体" w:cs="宋体"/>
          <w:color w:val="auto"/>
          <w:szCs w:val="22"/>
          <w:highlight w:val="none"/>
        </w:rPr>
        <w:t>企业提供字号保护相关的法律法规咨询、培训及维权援助支持。推动建立与其他省市相关机构在知名字号保护方面的信息交流与合作机制。</w:t>
      </w:r>
    </w:p>
    <w:p w14:paraId="2CCBDA80">
      <w:pPr>
        <w:pStyle w:val="105"/>
        <w:numPr>
          <w:ilvl w:val="2"/>
          <w:numId w:val="6"/>
        </w:numPr>
        <w:spacing w:before="0" w:beforeLines="0" w:after="0" w:afterLines="0"/>
        <w:ind w:left="0"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推动</w:t>
      </w:r>
      <w:r>
        <w:rPr>
          <w:rFonts w:hint="eastAsia" w:ascii="宋体" w:hAnsi="宋体" w:eastAsia="宋体" w:cs="宋体"/>
          <w:color w:val="auto"/>
          <w:szCs w:val="22"/>
          <w:highlight w:val="none"/>
        </w:rPr>
        <w:t>在</w:t>
      </w:r>
      <w:r>
        <w:rPr>
          <w:rFonts w:hint="eastAsia" w:ascii="宋体" w:hAnsi="宋体" w:eastAsia="宋体" w:cs="宋体"/>
          <w:color w:val="auto"/>
          <w:szCs w:val="22"/>
          <w:highlight w:val="none"/>
          <w:lang w:val="en-US" w:eastAsia="zh-CN"/>
        </w:rPr>
        <w:t>粤港澳三</w:t>
      </w:r>
      <w:r>
        <w:rPr>
          <w:rFonts w:hint="eastAsia" w:ascii="宋体" w:hAnsi="宋体" w:eastAsia="宋体" w:cs="宋体"/>
          <w:color w:val="auto"/>
          <w:szCs w:val="22"/>
          <w:highlight w:val="none"/>
        </w:rPr>
        <w:t>地法律允许范围内共享信息</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定期向香港特别行政区公司注册处、澳门特别行政区经济及科技发展局及相关司法机关报送《广东省知名字号</w:t>
      </w:r>
      <w:r>
        <w:rPr>
          <w:rFonts w:hint="eastAsia" w:ascii="宋体" w:hAnsi="宋体" w:eastAsia="宋体" w:cs="宋体"/>
          <w:color w:val="auto"/>
          <w:szCs w:val="22"/>
          <w:highlight w:val="none"/>
          <w:lang w:val="en-US" w:eastAsia="zh-CN"/>
        </w:rPr>
        <w:t>数据库</w:t>
      </w:r>
      <w:r>
        <w:rPr>
          <w:rFonts w:hint="eastAsia" w:ascii="宋体" w:hAnsi="宋体" w:eastAsia="宋体" w:cs="宋体"/>
          <w:color w:val="auto"/>
          <w:szCs w:val="22"/>
          <w:highlight w:val="none"/>
        </w:rPr>
        <w:t>》更新信息，为相关工作提供参考</w:t>
      </w:r>
      <w:r>
        <w:rPr>
          <w:rFonts w:hint="eastAsia" w:ascii="宋体" w:hAnsi="宋体" w:eastAsia="宋体" w:cs="宋体"/>
          <w:color w:val="auto"/>
          <w:szCs w:val="22"/>
          <w:highlight w:val="none"/>
          <w:lang w:val="en-US" w:eastAsia="zh-CN"/>
        </w:rPr>
        <w:t>或协助</w:t>
      </w:r>
      <w:r>
        <w:rPr>
          <w:rFonts w:hint="eastAsia" w:ascii="宋体" w:hAnsi="宋体" w:eastAsia="宋体" w:cs="宋体"/>
          <w:color w:val="auto"/>
          <w:szCs w:val="22"/>
          <w:highlight w:val="none"/>
        </w:rPr>
        <w:t>，加强湾区知名企业字号互认互保。</w:t>
      </w:r>
    </w:p>
    <w:p w14:paraId="48A905D7">
      <w:pPr>
        <w:pStyle w:val="109"/>
        <w:numPr>
          <w:ilvl w:val="0"/>
          <w:numId w:val="0"/>
        </w:numPr>
        <w:adjustRightInd w:val="0"/>
        <w:snapToGrid w:val="0"/>
        <w:spacing w:beforeLines="0" w:afterLines="0"/>
        <w:outlineLvl w:val="9"/>
        <w:rPr>
          <w:rFonts w:hint="eastAsia" w:ascii="宋体" w:hAnsi="宋体" w:eastAsia="宋体"/>
          <w:color w:val="auto"/>
          <w:sz w:val="18"/>
          <w:szCs w:val="16"/>
          <w:highlight w:val="none"/>
        </w:rPr>
        <w:sectPr>
          <w:headerReference r:id="rId10" w:type="default"/>
          <w:footerReference r:id="rId12" w:type="default"/>
          <w:headerReference r:id="rId11" w:type="even"/>
          <w:footerReference r:id="rId13" w:type="even"/>
          <w:pgSz w:w="11906" w:h="16838"/>
          <w:pgMar w:top="567" w:right="1134" w:bottom="1134" w:left="1418" w:header="1418" w:footer="1134" w:gutter="0"/>
          <w:pgNumType w:start="1"/>
          <w:cols w:space="720" w:num="1"/>
          <w:formProt w:val="0"/>
          <w:docGrid w:type="lines" w:linePitch="312" w:charSpace="0"/>
        </w:sectPr>
      </w:pP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143"/>
    <w:bookmarkEnd w:id="144"/>
    <w:bookmarkEnd w:id="145"/>
    <w:bookmarkEnd w:id="146"/>
    <w:bookmarkEnd w:id="147"/>
    <w:p w14:paraId="2859DB43">
      <w:pPr>
        <w:jc w:val="center"/>
        <w:rPr>
          <w:rFonts w:ascii="黑体" w:hAnsi="黑体" w:eastAsia="黑体" w:cs="Arial"/>
          <w:color w:val="auto"/>
          <w:szCs w:val="20"/>
          <w:highlight w:val="none"/>
        </w:rPr>
      </w:pPr>
      <w:r>
        <w:rPr>
          <w:rFonts w:hint="eastAsia" w:ascii="黑体" w:hAnsi="黑体" w:eastAsia="黑体" w:cs="Arial"/>
          <w:color w:val="auto"/>
          <w:szCs w:val="20"/>
          <w:highlight w:val="none"/>
        </w:rPr>
        <w:t>附录A</w:t>
      </w:r>
    </w:p>
    <w:p w14:paraId="568CF5E7">
      <w:pPr>
        <w:jc w:val="center"/>
        <w:rPr>
          <w:rFonts w:ascii="黑体" w:hAnsi="黑体" w:eastAsia="黑体" w:cs="Arial"/>
          <w:color w:val="auto"/>
          <w:szCs w:val="20"/>
          <w:highlight w:val="none"/>
        </w:rPr>
      </w:pPr>
      <w:r>
        <w:rPr>
          <w:rFonts w:hint="eastAsia" w:ascii="黑体" w:hAnsi="黑体" w:eastAsia="黑体" w:cs="Arial"/>
          <w:color w:val="auto"/>
          <w:szCs w:val="20"/>
          <w:highlight w:val="none"/>
        </w:rPr>
        <w:t>（规范性）</w:t>
      </w:r>
    </w:p>
    <w:p w14:paraId="575D29C3">
      <w:pPr>
        <w:jc w:val="center"/>
        <w:rPr>
          <w:rFonts w:hint="eastAsia" w:ascii="黑体" w:hAnsi="黑体" w:eastAsia="黑体" w:cs="Arial"/>
          <w:color w:val="auto"/>
          <w:szCs w:val="20"/>
          <w:highlight w:val="none"/>
        </w:rPr>
      </w:pPr>
      <w:r>
        <w:rPr>
          <w:rFonts w:hint="eastAsia" w:ascii="黑体" w:hAnsi="黑体" w:eastAsia="黑体" w:cs="Arial"/>
          <w:color w:val="auto"/>
          <w:szCs w:val="20"/>
          <w:highlight w:val="none"/>
        </w:rPr>
        <w:t>广东省知名字号认定评分表</w:t>
      </w:r>
    </w:p>
    <w:p w14:paraId="2DB472C0">
      <w:pPr>
        <w:jc w:val="center"/>
        <w:rPr>
          <w:rFonts w:hint="eastAsia" w:ascii="黑体" w:hAnsi="黑体" w:eastAsia="黑体" w:cs="Arial"/>
          <w:color w:val="auto"/>
          <w:szCs w:val="20"/>
          <w:highlight w:val="none"/>
        </w:rPr>
      </w:pPr>
    </w:p>
    <w:p w14:paraId="45FC4C6C">
      <w:pPr>
        <w:pStyle w:val="26"/>
        <w:ind w:firstLine="0" w:firstLineChars="0"/>
        <w:rPr>
          <w:color w:val="auto"/>
          <w:highlight w:val="none"/>
        </w:rPr>
      </w:pPr>
      <w:r>
        <w:rPr>
          <w:rFonts w:hint="eastAsia"/>
          <w:color w:val="auto"/>
          <w:highlight w:val="none"/>
        </w:rPr>
        <w:t xml:space="preserve">  广东省知名字号认定评分表见表A.1。 </w:t>
      </w:r>
    </w:p>
    <w:p w14:paraId="376C907E">
      <w:pPr>
        <w:tabs>
          <w:tab w:val="center" w:pos="4201"/>
          <w:tab w:val="right" w:leader="dot" w:pos="9298"/>
        </w:tabs>
        <w:spacing w:before="156" w:beforeLines="50" w:after="156" w:afterLines="50"/>
        <w:jc w:val="center"/>
        <w:rPr>
          <w:rFonts w:hint="eastAsia" w:ascii="黑体" w:hAnsi="黑体" w:eastAsia="黑体" w:cs="Arial"/>
          <w:color w:val="auto"/>
          <w:szCs w:val="20"/>
          <w:highlight w:val="none"/>
        </w:rPr>
      </w:pPr>
      <w:r>
        <w:rPr>
          <w:rFonts w:hint="eastAsia"/>
          <w:color w:val="auto"/>
          <w:highlight w:val="none"/>
        </w:rPr>
        <w:t xml:space="preserve">表A.1 </w:t>
      </w:r>
      <w:r>
        <w:rPr>
          <w:rFonts w:hint="eastAsia" w:ascii="黑体" w:hAnsi="黑体" w:eastAsia="黑体" w:cs="Arial"/>
          <w:color w:val="auto"/>
          <w:szCs w:val="20"/>
          <w:highlight w:val="none"/>
        </w:rPr>
        <w:t>广东省知名字号审核评分表</w:t>
      </w:r>
    </w:p>
    <w:tbl>
      <w:tblPr>
        <w:tblStyle w:val="35"/>
        <w:tblpPr w:leftFromText="180" w:rightFromText="180" w:vertAnchor="text" w:tblpXSpec="center" w:tblpY="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363"/>
        <w:gridCol w:w="721"/>
        <w:gridCol w:w="494"/>
      </w:tblGrid>
      <w:tr w14:paraId="534D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355" w:type="dxa"/>
            <w:gridSpan w:val="2"/>
            <w:tcBorders>
              <w:top w:val="single" w:color="auto" w:sz="4" w:space="0"/>
              <w:left w:val="single" w:color="auto" w:sz="4" w:space="0"/>
              <w:bottom w:val="single" w:color="auto" w:sz="4" w:space="0"/>
            </w:tcBorders>
            <w:vAlign w:val="center"/>
          </w:tcPr>
          <w:p w14:paraId="156BE755">
            <w:pPr>
              <w:adjustRightInd w:val="0"/>
              <w:snapToGrid w:val="0"/>
              <w:jc w:val="center"/>
              <w:rPr>
                <w:rFonts w:ascii="宋体" w:hAnsi="宋体" w:cs="宋体"/>
                <w:b/>
                <w:snapToGrid w:val="0"/>
                <w:color w:val="auto"/>
                <w:spacing w:val="2"/>
                <w:kern w:val="0"/>
                <w:sz w:val="18"/>
                <w:szCs w:val="18"/>
              </w:rPr>
            </w:pPr>
            <w:r>
              <w:rPr>
                <w:rFonts w:hint="eastAsia" w:ascii="宋体" w:hAnsi="宋体" w:cs="宋体"/>
                <w:b/>
                <w:snapToGrid w:val="0"/>
                <w:color w:val="auto"/>
                <w:spacing w:val="2"/>
                <w:kern w:val="0"/>
                <w:sz w:val="18"/>
                <w:szCs w:val="18"/>
              </w:rPr>
              <w:t>项目</w:t>
            </w:r>
          </w:p>
        </w:tc>
        <w:tc>
          <w:tcPr>
            <w:tcW w:w="721" w:type="dxa"/>
            <w:tcBorders>
              <w:top w:val="single" w:color="auto" w:sz="4" w:space="0"/>
              <w:bottom w:val="single" w:color="auto" w:sz="4" w:space="0"/>
            </w:tcBorders>
            <w:vAlign w:val="center"/>
          </w:tcPr>
          <w:p w14:paraId="67965DD3">
            <w:pPr>
              <w:adjustRightInd w:val="0"/>
              <w:snapToGrid w:val="0"/>
              <w:jc w:val="center"/>
              <w:rPr>
                <w:rFonts w:ascii="宋体" w:hAnsi="宋体" w:cs="宋体"/>
                <w:b/>
                <w:snapToGrid w:val="0"/>
                <w:color w:val="auto"/>
                <w:spacing w:val="2"/>
                <w:kern w:val="0"/>
                <w:sz w:val="18"/>
                <w:szCs w:val="18"/>
              </w:rPr>
            </w:pPr>
            <w:r>
              <w:rPr>
                <w:rFonts w:hint="eastAsia" w:ascii="宋体" w:hAnsi="宋体" w:cs="宋体"/>
                <w:b/>
                <w:snapToGrid w:val="0"/>
                <w:color w:val="auto"/>
                <w:spacing w:val="2"/>
                <w:kern w:val="0"/>
                <w:sz w:val="18"/>
                <w:szCs w:val="18"/>
              </w:rPr>
              <w:t>标准分</w:t>
            </w:r>
          </w:p>
        </w:tc>
        <w:tc>
          <w:tcPr>
            <w:tcW w:w="494" w:type="dxa"/>
            <w:tcBorders>
              <w:top w:val="single" w:color="auto" w:sz="4" w:space="0"/>
              <w:bottom w:val="single" w:color="auto" w:sz="4" w:space="0"/>
              <w:right w:val="single" w:color="auto" w:sz="4" w:space="0"/>
            </w:tcBorders>
            <w:vAlign w:val="center"/>
          </w:tcPr>
          <w:p w14:paraId="0E9A5F77">
            <w:pPr>
              <w:adjustRightInd w:val="0"/>
              <w:snapToGrid w:val="0"/>
              <w:jc w:val="center"/>
              <w:rPr>
                <w:rFonts w:ascii="宋体" w:hAnsi="宋体" w:cs="宋体"/>
                <w:b/>
                <w:snapToGrid w:val="0"/>
                <w:color w:val="auto"/>
                <w:spacing w:val="2"/>
                <w:kern w:val="0"/>
                <w:sz w:val="18"/>
                <w:szCs w:val="18"/>
              </w:rPr>
            </w:pPr>
            <w:r>
              <w:rPr>
                <w:rFonts w:hint="eastAsia" w:ascii="宋体" w:hAnsi="宋体" w:cs="宋体"/>
                <w:b/>
                <w:snapToGrid w:val="0"/>
                <w:color w:val="auto"/>
                <w:spacing w:val="2"/>
                <w:kern w:val="0"/>
                <w:sz w:val="18"/>
                <w:szCs w:val="18"/>
              </w:rPr>
              <w:t>评分</w:t>
            </w:r>
          </w:p>
        </w:tc>
      </w:tr>
      <w:tr w14:paraId="6AA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992" w:type="dxa"/>
            <w:vMerge w:val="restart"/>
            <w:tcBorders>
              <w:top w:val="single" w:color="auto" w:sz="4" w:space="0"/>
            </w:tcBorders>
            <w:vAlign w:val="center"/>
          </w:tcPr>
          <w:p w14:paraId="50537311">
            <w:pPr>
              <w:adjustRightInd w:val="0"/>
              <w:snapToGrid w:val="0"/>
              <w:jc w:val="center"/>
              <w:rPr>
                <w:rFonts w:ascii="宋体" w:hAnsi="宋体" w:cs="宋体"/>
                <w:snapToGrid w:val="0"/>
                <w:color w:val="auto"/>
                <w:spacing w:val="2"/>
                <w:kern w:val="0"/>
                <w:sz w:val="18"/>
                <w:szCs w:val="18"/>
              </w:rPr>
            </w:pPr>
          </w:p>
          <w:p w14:paraId="2C72442B">
            <w:pPr>
              <w:adjustRightInd w:val="0"/>
              <w:snapToGrid w:val="0"/>
              <w:jc w:val="center"/>
              <w:rPr>
                <w:rFonts w:ascii="宋体" w:hAnsi="宋体" w:cs="宋体"/>
                <w:snapToGrid w:val="0"/>
                <w:color w:val="auto"/>
                <w:spacing w:val="2"/>
                <w:kern w:val="0"/>
                <w:sz w:val="18"/>
                <w:szCs w:val="18"/>
              </w:rPr>
            </w:pPr>
          </w:p>
          <w:p w14:paraId="36ADFC2A">
            <w:pPr>
              <w:adjustRightInd w:val="0"/>
              <w:snapToGrid w:val="0"/>
              <w:jc w:val="center"/>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rPr>
              <w:t>基础项</w:t>
            </w:r>
          </w:p>
          <w:p w14:paraId="4BAFA93B">
            <w:pPr>
              <w:adjustRightInd w:val="0"/>
              <w:snapToGrid w:val="0"/>
              <w:jc w:val="center"/>
              <w:rPr>
                <w:rFonts w:ascii="宋体" w:hAnsi="宋体" w:cs="宋体"/>
                <w:snapToGrid w:val="0"/>
                <w:color w:val="auto"/>
                <w:spacing w:val="2"/>
                <w:kern w:val="0"/>
                <w:sz w:val="18"/>
                <w:szCs w:val="18"/>
              </w:rPr>
            </w:pPr>
          </w:p>
        </w:tc>
        <w:tc>
          <w:tcPr>
            <w:tcW w:w="7363" w:type="dxa"/>
            <w:tcBorders>
              <w:top w:val="single" w:color="auto" w:sz="4" w:space="0"/>
            </w:tcBorders>
            <w:vAlign w:val="center"/>
          </w:tcPr>
          <w:p w14:paraId="2CFC0B56">
            <w:pPr>
              <w:adjustRightInd w:val="0"/>
              <w:snapToGrid w:val="0"/>
              <w:jc w:val="left"/>
              <w:rPr>
                <w:rFonts w:ascii="宋体" w:hAnsi="宋体" w:cs="宋体"/>
                <w:snapToGrid w:val="0"/>
                <w:color w:val="auto"/>
                <w:spacing w:val="2"/>
                <w:kern w:val="0"/>
                <w:sz w:val="18"/>
                <w:szCs w:val="18"/>
              </w:rPr>
            </w:pPr>
            <w:r>
              <w:rPr>
                <w:rFonts w:hint="eastAsia" w:ascii="宋体" w:hAnsi="宋体"/>
                <w:color w:val="auto"/>
                <w:sz w:val="18"/>
                <w:szCs w:val="18"/>
              </w:rPr>
              <w:t>1.该申请</w:t>
            </w:r>
            <w:r>
              <w:rPr>
                <w:rFonts w:hint="eastAsia" w:ascii="宋体" w:hAnsi="宋体"/>
                <w:color w:val="auto"/>
                <w:sz w:val="18"/>
                <w:szCs w:val="18"/>
                <w:lang w:val="en-US" w:eastAsia="zh-CN"/>
              </w:rPr>
              <w:t>人</w:t>
            </w:r>
            <w:r>
              <w:rPr>
                <w:rFonts w:hint="eastAsia" w:ascii="宋体" w:hAnsi="宋体"/>
                <w:color w:val="auto"/>
                <w:sz w:val="18"/>
                <w:szCs w:val="18"/>
              </w:rPr>
              <w:t>字号连续使用满3年</w:t>
            </w:r>
          </w:p>
        </w:tc>
        <w:tc>
          <w:tcPr>
            <w:tcW w:w="721" w:type="dxa"/>
            <w:tcBorders>
              <w:top w:val="single" w:color="auto" w:sz="4" w:space="0"/>
            </w:tcBorders>
            <w:vAlign w:val="center"/>
          </w:tcPr>
          <w:p w14:paraId="5C4B9FFB">
            <w:pPr>
              <w:adjustRightInd w:val="0"/>
              <w:snapToGrid w:val="0"/>
              <w:jc w:val="center"/>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rPr>
              <w:t>10分</w:t>
            </w:r>
          </w:p>
        </w:tc>
        <w:tc>
          <w:tcPr>
            <w:tcW w:w="494" w:type="dxa"/>
            <w:tcBorders>
              <w:top w:val="single" w:color="auto" w:sz="4" w:space="0"/>
            </w:tcBorders>
            <w:vAlign w:val="center"/>
          </w:tcPr>
          <w:p w14:paraId="5C4553CC">
            <w:pPr>
              <w:adjustRightInd w:val="0"/>
              <w:snapToGrid w:val="0"/>
              <w:jc w:val="center"/>
              <w:rPr>
                <w:rFonts w:ascii="宋体" w:hAnsi="宋体" w:cs="宋体"/>
                <w:snapToGrid w:val="0"/>
                <w:color w:val="auto"/>
                <w:spacing w:val="2"/>
                <w:kern w:val="0"/>
                <w:sz w:val="18"/>
                <w:szCs w:val="18"/>
              </w:rPr>
            </w:pPr>
          </w:p>
        </w:tc>
      </w:tr>
      <w:tr w14:paraId="3519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992" w:type="dxa"/>
            <w:vMerge w:val="continue"/>
            <w:vAlign w:val="center"/>
          </w:tcPr>
          <w:p w14:paraId="69CF77B6">
            <w:pPr>
              <w:adjustRightInd w:val="0"/>
              <w:snapToGrid w:val="0"/>
              <w:jc w:val="center"/>
              <w:rPr>
                <w:color w:val="auto"/>
              </w:rPr>
            </w:pPr>
          </w:p>
        </w:tc>
        <w:tc>
          <w:tcPr>
            <w:tcW w:w="7363" w:type="dxa"/>
            <w:tcBorders>
              <w:top w:val="single" w:color="auto" w:sz="4" w:space="0"/>
            </w:tcBorders>
            <w:vAlign w:val="center"/>
          </w:tcPr>
          <w:p w14:paraId="10CCE02C">
            <w:pPr>
              <w:adjustRightInd w:val="0"/>
              <w:snapToGrid w:val="0"/>
              <w:jc w:val="left"/>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.提供带有该申请字号标识的商品或服务实物照片</w:t>
            </w:r>
          </w:p>
        </w:tc>
        <w:tc>
          <w:tcPr>
            <w:tcW w:w="721" w:type="dxa"/>
            <w:tcBorders>
              <w:top w:val="single" w:color="auto" w:sz="4" w:space="0"/>
            </w:tcBorders>
            <w:vAlign w:val="center"/>
          </w:tcPr>
          <w:p w14:paraId="2D5284C5">
            <w:pPr>
              <w:adjustRightInd w:val="0"/>
              <w:snapToGrid w:val="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10分</w:t>
            </w:r>
          </w:p>
        </w:tc>
        <w:tc>
          <w:tcPr>
            <w:tcW w:w="494" w:type="dxa"/>
            <w:tcBorders>
              <w:top w:val="single" w:color="auto" w:sz="4" w:space="0"/>
            </w:tcBorders>
            <w:vAlign w:val="center"/>
          </w:tcPr>
          <w:p w14:paraId="37162666">
            <w:pPr>
              <w:adjustRightInd w:val="0"/>
              <w:snapToGrid w:val="0"/>
              <w:jc w:val="center"/>
              <w:rPr>
                <w:rFonts w:hint="eastAsia" w:ascii="宋体" w:hAnsi="宋体"/>
                <w:color w:val="auto"/>
                <w:sz w:val="18"/>
                <w:szCs w:val="18"/>
              </w:rPr>
            </w:pPr>
          </w:p>
        </w:tc>
      </w:tr>
      <w:tr w14:paraId="3EBA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vAlign w:val="center"/>
          </w:tcPr>
          <w:p w14:paraId="7B1DD3F8">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4259D378">
            <w:pPr>
              <w:adjustRightInd w:val="0"/>
              <w:snapToGrid w:val="0"/>
              <w:jc w:val="left"/>
              <w:rPr>
                <w:rFonts w:ascii="宋体" w:hAnsi="宋体" w:cs="宋体"/>
                <w:snapToGrid w:val="0"/>
                <w:color w:val="auto"/>
                <w:spacing w:val="2"/>
                <w:kern w:val="0"/>
                <w:sz w:val="18"/>
                <w:szCs w:val="18"/>
              </w:rPr>
            </w:pPr>
            <w:r>
              <w:rPr>
                <w:rFonts w:hint="eastAsia" w:ascii="宋体" w:hAnsi="宋体"/>
                <w:color w:val="auto"/>
                <w:sz w:val="18"/>
                <w:szCs w:val="18"/>
                <w:lang w:val="en-US" w:eastAsia="zh-CN"/>
              </w:rPr>
              <w:t>3</w:t>
            </w:r>
            <w:r>
              <w:rPr>
                <w:rFonts w:hint="eastAsia" w:ascii="宋体" w:hAnsi="宋体"/>
                <w:color w:val="auto"/>
                <w:sz w:val="18"/>
                <w:szCs w:val="18"/>
              </w:rPr>
              <w:t>.提供宣传带有该申请字号标识的商品或服务的广告图片</w:t>
            </w:r>
          </w:p>
        </w:tc>
        <w:tc>
          <w:tcPr>
            <w:tcW w:w="721" w:type="dxa"/>
            <w:vAlign w:val="center"/>
          </w:tcPr>
          <w:p w14:paraId="0B127E89">
            <w:pPr>
              <w:adjustRightInd w:val="0"/>
              <w:snapToGrid w:val="0"/>
              <w:jc w:val="center"/>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rPr>
              <w:t>10分</w:t>
            </w:r>
          </w:p>
        </w:tc>
        <w:tc>
          <w:tcPr>
            <w:tcW w:w="494" w:type="dxa"/>
            <w:vAlign w:val="center"/>
          </w:tcPr>
          <w:p w14:paraId="5F8CFC60">
            <w:pPr>
              <w:adjustRightInd w:val="0"/>
              <w:snapToGrid w:val="0"/>
              <w:jc w:val="center"/>
              <w:rPr>
                <w:rFonts w:ascii="宋体" w:hAnsi="宋体" w:cs="宋体"/>
                <w:snapToGrid w:val="0"/>
                <w:color w:val="auto"/>
                <w:spacing w:val="2"/>
                <w:kern w:val="0"/>
                <w:sz w:val="18"/>
                <w:szCs w:val="18"/>
              </w:rPr>
            </w:pPr>
          </w:p>
        </w:tc>
      </w:tr>
      <w:tr w14:paraId="1E89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vAlign w:val="center"/>
          </w:tcPr>
          <w:p w14:paraId="5D209CC9">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472BA575">
            <w:pPr>
              <w:adjustRightInd w:val="0"/>
              <w:snapToGrid w:val="0"/>
              <w:jc w:val="left"/>
              <w:rPr>
                <w:rFonts w:ascii="宋体" w:hAnsi="宋体" w:cs="宋体"/>
                <w:snapToGrid w:val="0"/>
                <w:color w:val="auto"/>
                <w:spacing w:val="2"/>
                <w:kern w:val="0"/>
                <w:sz w:val="18"/>
                <w:szCs w:val="18"/>
              </w:rPr>
            </w:pPr>
            <w:r>
              <w:rPr>
                <w:rFonts w:hint="eastAsia" w:ascii="宋体" w:hAnsi="宋体"/>
                <w:color w:val="auto"/>
                <w:sz w:val="18"/>
                <w:szCs w:val="18"/>
                <w:lang w:val="en-US" w:eastAsia="zh-CN"/>
              </w:rPr>
              <w:t>4</w:t>
            </w:r>
            <w:r>
              <w:rPr>
                <w:rFonts w:hint="eastAsia" w:ascii="宋体" w:hAnsi="宋体"/>
                <w:color w:val="auto"/>
                <w:sz w:val="18"/>
                <w:szCs w:val="18"/>
              </w:rPr>
              <w:t>.提供该申请字号</w:t>
            </w:r>
            <w:r>
              <w:rPr>
                <w:rFonts w:hint="eastAsia" w:ascii="宋体" w:hAnsi="宋体"/>
                <w:color w:val="auto"/>
                <w:sz w:val="18"/>
                <w:szCs w:val="18"/>
                <w:lang w:val="en-US" w:eastAsia="zh-CN"/>
              </w:rPr>
              <w:t>人</w:t>
            </w:r>
            <w:r>
              <w:rPr>
                <w:rFonts w:hint="eastAsia" w:ascii="宋体" w:hAnsi="宋体"/>
                <w:color w:val="auto"/>
                <w:sz w:val="18"/>
                <w:szCs w:val="18"/>
              </w:rPr>
              <w:t>依法诚信经营“承诺书”</w:t>
            </w:r>
          </w:p>
        </w:tc>
        <w:tc>
          <w:tcPr>
            <w:tcW w:w="721" w:type="dxa"/>
            <w:vAlign w:val="center"/>
          </w:tcPr>
          <w:p w14:paraId="70775C8E">
            <w:pPr>
              <w:adjustRightInd w:val="0"/>
              <w:snapToGrid w:val="0"/>
              <w:jc w:val="center"/>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rPr>
              <w:t>一票否决</w:t>
            </w:r>
          </w:p>
        </w:tc>
        <w:tc>
          <w:tcPr>
            <w:tcW w:w="494" w:type="dxa"/>
            <w:vAlign w:val="center"/>
          </w:tcPr>
          <w:p w14:paraId="2E26B8BC">
            <w:pPr>
              <w:adjustRightInd w:val="0"/>
              <w:snapToGrid w:val="0"/>
              <w:jc w:val="center"/>
              <w:rPr>
                <w:rFonts w:ascii="宋体" w:hAnsi="宋体" w:cs="宋体"/>
                <w:snapToGrid w:val="0"/>
                <w:color w:val="auto"/>
                <w:spacing w:val="2"/>
                <w:kern w:val="0"/>
                <w:sz w:val="18"/>
                <w:szCs w:val="18"/>
              </w:rPr>
            </w:pPr>
          </w:p>
        </w:tc>
      </w:tr>
      <w:tr w14:paraId="0360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vAlign w:val="center"/>
          </w:tcPr>
          <w:p w14:paraId="28D40522">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68D5A5D1">
            <w:pPr>
              <w:adjustRightInd w:val="0"/>
              <w:snapToGrid w:val="0"/>
              <w:jc w:val="left"/>
              <w:rPr>
                <w:rFonts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.申报主体或关联单位在粤纳税证明</w:t>
            </w:r>
          </w:p>
        </w:tc>
        <w:tc>
          <w:tcPr>
            <w:tcW w:w="721" w:type="dxa"/>
            <w:vAlign w:val="center"/>
          </w:tcPr>
          <w:p w14:paraId="6747332B">
            <w:pPr>
              <w:adjustRightInd w:val="0"/>
              <w:snapToGrid w:val="0"/>
              <w:jc w:val="center"/>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rPr>
              <w:t>一票否决</w:t>
            </w:r>
          </w:p>
        </w:tc>
        <w:tc>
          <w:tcPr>
            <w:tcW w:w="494" w:type="dxa"/>
            <w:vAlign w:val="center"/>
          </w:tcPr>
          <w:p w14:paraId="3182D635">
            <w:pPr>
              <w:adjustRightInd w:val="0"/>
              <w:snapToGrid w:val="0"/>
              <w:jc w:val="center"/>
              <w:rPr>
                <w:rFonts w:ascii="宋体" w:hAnsi="宋体" w:cs="宋体"/>
                <w:snapToGrid w:val="0"/>
                <w:color w:val="auto"/>
                <w:spacing w:val="2"/>
                <w:kern w:val="0"/>
                <w:sz w:val="18"/>
                <w:szCs w:val="18"/>
              </w:rPr>
            </w:pPr>
          </w:p>
        </w:tc>
      </w:tr>
      <w:tr w14:paraId="35F4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992" w:type="dxa"/>
            <w:vAlign w:val="center"/>
          </w:tcPr>
          <w:p w14:paraId="28B7980F">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rPr>
              <w:t>加分项1</w:t>
            </w:r>
          </w:p>
        </w:tc>
        <w:tc>
          <w:tcPr>
            <w:tcW w:w="7363" w:type="dxa"/>
            <w:vAlign w:val="center"/>
          </w:tcPr>
          <w:p w14:paraId="2651320C">
            <w:pPr>
              <w:adjustRightInd w:val="0"/>
              <w:snapToGrid w:val="0"/>
              <w:jc w:val="left"/>
              <w:rPr>
                <w:rFonts w:ascii="宋体" w:hAnsi="宋体" w:cs="宋体"/>
                <w:snapToGrid w:val="0"/>
                <w:color w:val="auto"/>
                <w:spacing w:val="2"/>
                <w:kern w:val="0"/>
                <w:sz w:val="18"/>
                <w:szCs w:val="18"/>
              </w:rPr>
            </w:pPr>
            <w:r>
              <w:rPr>
                <w:rFonts w:hint="eastAsia" w:ascii="宋体" w:hAnsi="宋体"/>
                <w:color w:val="auto"/>
                <w:sz w:val="18"/>
                <w:szCs w:val="18"/>
                <w:lang w:val="en-US" w:eastAsia="zh-CN"/>
              </w:rPr>
              <w:t>6</w:t>
            </w:r>
            <w:r>
              <w:rPr>
                <w:rFonts w:hint="eastAsia" w:ascii="宋体" w:hAnsi="宋体"/>
                <w:color w:val="auto"/>
                <w:sz w:val="18"/>
                <w:szCs w:val="18"/>
              </w:rPr>
              <w:t>.</w:t>
            </w:r>
            <w:r>
              <w:rPr>
                <w:rFonts w:hint="eastAsia" w:ascii="宋体" w:hAnsi="宋体"/>
                <w:color w:val="auto"/>
                <w:sz w:val="18"/>
                <w:szCs w:val="18"/>
                <w:lang w:val="en-US" w:eastAsia="zh-CN"/>
              </w:rPr>
              <w:t>申请</w:t>
            </w:r>
            <w:r>
              <w:rPr>
                <w:rFonts w:hint="eastAsia" w:ascii="宋体" w:hAnsi="宋体"/>
                <w:color w:val="auto"/>
                <w:sz w:val="18"/>
                <w:szCs w:val="18"/>
              </w:rPr>
              <w:t>字号与</w:t>
            </w:r>
            <w:r>
              <w:rPr>
                <w:rFonts w:hint="eastAsia" w:ascii="宋体" w:hAnsi="宋体"/>
                <w:color w:val="auto"/>
                <w:sz w:val="18"/>
                <w:szCs w:val="18"/>
                <w:lang w:val="en-US" w:eastAsia="zh-CN"/>
              </w:rPr>
              <w:t>申请人</w:t>
            </w:r>
            <w:r>
              <w:rPr>
                <w:rFonts w:hint="eastAsia" w:ascii="宋体" w:hAnsi="宋体"/>
                <w:color w:val="auto"/>
                <w:sz w:val="18"/>
                <w:szCs w:val="18"/>
              </w:rPr>
              <w:t>驰名商标文字部分相同的</w:t>
            </w:r>
          </w:p>
        </w:tc>
        <w:tc>
          <w:tcPr>
            <w:tcW w:w="721" w:type="dxa"/>
            <w:vAlign w:val="center"/>
          </w:tcPr>
          <w:p w14:paraId="13F9AB7D">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rPr>
              <w:t>1</w:t>
            </w:r>
            <w:r>
              <w:rPr>
                <w:rFonts w:hint="eastAsia" w:ascii="宋体" w:hAnsi="宋体"/>
                <w:color w:val="auto"/>
                <w:sz w:val="18"/>
                <w:szCs w:val="18"/>
                <w:lang w:val="en-US" w:eastAsia="zh-CN"/>
              </w:rPr>
              <w:t>0</w:t>
            </w:r>
            <w:r>
              <w:rPr>
                <w:rFonts w:hint="eastAsia" w:ascii="宋体" w:hAnsi="宋体"/>
                <w:color w:val="auto"/>
                <w:sz w:val="18"/>
                <w:szCs w:val="18"/>
              </w:rPr>
              <w:t>0分</w:t>
            </w:r>
          </w:p>
        </w:tc>
        <w:tc>
          <w:tcPr>
            <w:tcW w:w="494" w:type="dxa"/>
            <w:vAlign w:val="center"/>
          </w:tcPr>
          <w:p w14:paraId="6C348591">
            <w:pPr>
              <w:adjustRightInd w:val="0"/>
              <w:snapToGrid w:val="0"/>
              <w:jc w:val="center"/>
              <w:rPr>
                <w:rFonts w:ascii="宋体" w:hAnsi="宋体" w:cs="宋体"/>
                <w:snapToGrid w:val="0"/>
                <w:color w:val="auto"/>
                <w:spacing w:val="2"/>
                <w:kern w:val="0"/>
                <w:sz w:val="18"/>
                <w:szCs w:val="18"/>
              </w:rPr>
            </w:pPr>
          </w:p>
        </w:tc>
      </w:tr>
      <w:tr w14:paraId="28A3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Align w:val="center"/>
          </w:tcPr>
          <w:p w14:paraId="7B232677">
            <w:pPr>
              <w:jc w:val="center"/>
              <w:rPr>
                <w:rFonts w:ascii="宋体" w:hAnsi="宋体" w:cs="宋体"/>
                <w:snapToGrid w:val="0"/>
                <w:color w:val="auto"/>
                <w:spacing w:val="2"/>
                <w:kern w:val="0"/>
                <w:sz w:val="18"/>
                <w:szCs w:val="18"/>
              </w:rPr>
            </w:pPr>
            <w:r>
              <w:rPr>
                <w:rFonts w:hint="eastAsia" w:ascii="宋体" w:hAnsi="宋体"/>
                <w:color w:val="auto"/>
                <w:sz w:val="18"/>
                <w:szCs w:val="18"/>
              </w:rPr>
              <w:t>加分项2</w:t>
            </w:r>
          </w:p>
        </w:tc>
        <w:tc>
          <w:tcPr>
            <w:tcW w:w="7363" w:type="dxa"/>
            <w:vAlign w:val="center"/>
          </w:tcPr>
          <w:p w14:paraId="0E87A4C9">
            <w:pPr>
              <w:adjustRightInd w:val="0"/>
              <w:snapToGrid w:val="0"/>
              <w:jc w:val="left"/>
              <w:rPr>
                <w:rFonts w:ascii="宋体" w:hAnsi="宋体" w:cs="宋体"/>
                <w:color w:val="auto"/>
                <w:sz w:val="18"/>
                <w:szCs w:val="18"/>
              </w:rPr>
            </w:pPr>
            <w:r>
              <w:rPr>
                <w:rFonts w:hint="eastAsia" w:ascii="宋体" w:hAnsi="宋体"/>
                <w:color w:val="auto"/>
                <w:sz w:val="18"/>
                <w:szCs w:val="18"/>
                <w:lang w:val="en-US" w:eastAsia="zh-CN"/>
              </w:rPr>
              <w:t>7</w:t>
            </w:r>
            <w:r>
              <w:rPr>
                <w:rFonts w:hint="eastAsia" w:ascii="宋体" w:hAnsi="宋体"/>
                <w:color w:val="auto"/>
                <w:sz w:val="18"/>
                <w:szCs w:val="18"/>
              </w:rPr>
              <w:t>.</w:t>
            </w:r>
            <w:r>
              <w:rPr>
                <w:rFonts w:hint="eastAsia" w:ascii="宋体" w:hAnsi="宋体"/>
                <w:color w:val="auto"/>
                <w:sz w:val="18"/>
                <w:szCs w:val="18"/>
                <w:lang w:val="en-US" w:eastAsia="zh-CN"/>
              </w:rPr>
              <w:t>申请人</w:t>
            </w:r>
            <w:r>
              <w:rPr>
                <w:rFonts w:hint="eastAsia" w:ascii="宋体" w:hAnsi="宋体"/>
                <w:color w:val="auto"/>
                <w:sz w:val="18"/>
                <w:szCs w:val="18"/>
              </w:rPr>
              <w:t>被认定为中华老字号的</w:t>
            </w:r>
          </w:p>
        </w:tc>
        <w:tc>
          <w:tcPr>
            <w:tcW w:w="721" w:type="dxa"/>
            <w:vAlign w:val="center"/>
          </w:tcPr>
          <w:p w14:paraId="04C968BF">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rPr>
              <w:t>1</w:t>
            </w:r>
            <w:r>
              <w:rPr>
                <w:rFonts w:hint="eastAsia" w:ascii="宋体" w:hAnsi="宋体"/>
                <w:color w:val="auto"/>
                <w:sz w:val="18"/>
                <w:szCs w:val="18"/>
                <w:lang w:val="en-US" w:eastAsia="zh-CN"/>
              </w:rPr>
              <w:t>0</w:t>
            </w:r>
            <w:r>
              <w:rPr>
                <w:rFonts w:hint="eastAsia" w:ascii="宋体" w:hAnsi="宋体"/>
                <w:color w:val="auto"/>
                <w:sz w:val="18"/>
                <w:szCs w:val="18"/>
              </w:rPr>
              <w:t>0分</w:t>
            </w:r>
          </w:p>
        </w:tc>
        <w:tc>
          <w:tcPr>
            <w:tcW w:w="494" w:type="dxa"/>
            <w:vAlign w:val="center"/>
          </w:tcPr>
          <w:p w14:paraId="3DC423EE">
            <w:pPr>
              <w:adjustRightInd w:val="0"/>
              <w:snapToGrid w:val="0"/>
              <w:jc w:val="center"/>
              <w:rPr>
                <w:rFonts w:ascii="宋体" w:hAnsi="宋体" w:cs="宋体"/>
                <w:snapToGrid w:val="0"/>
                <w:color w:val="auto"/>
                <w:spacing w:val="2"/>
                <w:kern w:val="0"/>
                <w:sz w:val="18"/>
                <w:szCs w:val="18"/>
              </w:rPr>
            </w:pPr>
          </w:p>
        </w:tc>
      </w:tr>
      <w:tr w14:paraId="476D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Align w:val="center"/>
          </w:tcPr>
          <w:p w14:paraId="17CDDA2B">
            <w:pPr>
              <w:jc w:val="center"/>
              <w:rPr>
                <w:color w:val="auto"/>
                <w:sz w:val="18"/>
                <w:szCs w:val="18"/>
              </w:rPr>
            </w:pPr>
            <w:r>
              <w:rPr>
                <w:rFonts w:hint="eastAsia" w:ascii="宋体" w:hAnsi="宋体"/>
                <w:color w:val="auto"/>
                <w:sz w:val="18"/>
                <w:szCs w:val="18"/>
              </w:rPr>
              <w:t>加分项3</w:t>
            </w:r>
          </w:p>
        </w:tc>
        <w:tc>
          <w:tcPr>
            <w:tcW w:w="7363" w:type="dxa"/>
            <w:vAlign w:val="center"/>
          </w:tcPr>
          <w:p w14:paraId="4F375273">
            <w:pPr>
              <w:adjustRightInd w:val="0"/>
              <w:snapToGrid w:val="0"/>
              <w:jc w:val="left"/>
              <w:rPr>
                <w:rFonts w:ascii="宋体" w:hAnsi="宋体" w:cs="宋体"/>
                <w:color w:val="auto"/>
                <w:sz w:val="18"/>
                <w:szCs w:val="18"/>
              </w:rPr>
            </w:pPr>
            <w:r>
              <w:rPr>
                <w:rFonts w:hint="eastAsia" w:ascii="宋体" w:hAnsi="宋体"/>
                <w:color w:val="auto"/>
                <w:sz w:val="18"/>
                <w:szCs w:val="18"/>
                <w:lang w:val="en-US" w:eastAsia="zh-CN"/>
              </w:rPr>
              <w:t>8</w:t>
            </w:r>
            <w:r>
              <w:rPr>
                <w:rFonts w:hint="eastAsia" w:ascii="宋体" w:hAnsi="宋体"/>
                <w:color w:val="auto"/>
                <w:sz w:val="18"/>
                <w:szCs w:val="18"/>
              </w:rPr>
              <w:t>.</w:t>
            </w:r>
            <w:r>
              <w:rPr>
                <w:rFonts w:hint="eastAsia" w:ascii="宋体" w:hAnsi="宋体"/>
                <w:color w:val="auto"/>
                <w:sz w:val="18"/>
                <w:szCs w:val="18"/>
                <w:lang w:val="en-US" w:eastAsia="zh-CN"/>
              </w:rPr>
              <w:t>申请</w:t>
            </w:r>
            <w:r>
              <w:rPr>
                <w:rFonts w:hint="eastAsia" w:ascii="宋体" w:hAnsi="宋体"/>
                <w:color w:val="auto"/>
                <w:sz w:val="18"/>
                <w:szCs w:val="18"/>
              </w:rPr>
              <w:t>字号与广东省重点商标保护名录纳入商标文字部分相同的</w:t>
            </w:r>
          </w:p>
        </w:tc>
        <w:tc>
          <w:tcPr>
            <w:tcW w:w="721" w:type="dxa"/>
            <w:vAlign w:val="center"/>
          </w:tcPr>
          <w:p w14:paraId="1862F3C6">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lang w:val="en-US" w:eastAsia="zh-CN"/>
              </w:rPr>
              <w:t>9</w:t>
            </w:r>
            <w:r>
              <w:rPr>
                <w:rFonts w:hint="eastAsia" w:ascii="宋体" w:hAnsi="宋体"/>
                <w:color w:val="auto"/>
                <w:sz w:val="18"/>
                <w:szCs w:val="18"/>
              </w:rPr>
              <w:t>0分</w:t>
            </w:r>
          </w:p>
        </w:tc>
        <w:tc>
          <w:tcPr>
            <w:tcW w:w="494" w:type="dxa"/>
            <w:vAlign w:val="center"/>
          </w:tcPr>
          <w:p w14:paraId="272EBF49">
            <w:pPr>
              <w:adjustRightInd w:val="0"/>
              <w:snapToGrid w:val="0"/>
              <w:jc w:val="center"/>
              <w:rPr>
                <w:rFonts w:ascii="宋体" w:hAnsi="宋体" w:cs="宋体"/>
                <w:snapToGrid w:val="0"/>
                <w:color w:val="auto"/>
                <w:spacing w:val="2"/>
                <w:kern w:val="0"/>
                <w:sz w:val="18"/>
                <w:szCs w:val="18"/>
              </w:rPr>
            </w:pPr>
          </w:p>
        </w:tc>
      </w:tr>
      <w:tr w14:paraId="1350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Align w:val="center"/>
          </w:tcPr>
          <w:p w14:paraId="79DA54E5">
            <w:pPr>
              <w:jc w:val="center"/>
              <w:rPr>
                <w:color w:val="auto"/>
                <w:sz w:val="18"/>
                <w:szCs w:val="18"/>
              </w:rPr>
            </w:pPr>
            <w:r>
              <w:rPr>
                <w:rFonts w:hint="eastAsia" w:ascii="宋体" w:hAnsi="宋体"/>
                <w:color w:val="auto"/>
                <w:sz w:val="18"/>
                <w:szCs w:val="18"/>
              </w:rPr>
              <w:t>加分项</w:t>
            </w:r>
            <w:r>
              <w:rPr>
                <w:rFonts w:ascii="宋体" w:hAnsi="宋体"/>
                <w:color w:val="auto"/>
                <w:sz w:val="18"/>
                <w:szCs w:val="18"/>
              </w:rPr>
              <w:t>4</w:t>
            </w:r>
          </w:p>
        </w:tc>
        <w:tc>
          <w:tcPr>
            <w:tcW w:w="7363" w:type="dxa"/>
            <w:vAlign w:val="center"/>
          </w:tcPr>
          <w:p w14:paraId="47F7DBC3">
            <w:pPr>
              <w:adjustRightInd w:val="0"/>
              <w:snapToGrid w:val="0"/>
              <w:jc w:val="left"/>
              <w:rPr>
                <w:rFonts w:ascii="宋体" w:hAnsi="宋体" w:cs="宋体"/>
                <w:color w:val="auto"/>
                <w:sz w:val="18"/>
                <w:szCs w:val="18"/>
              </w:rPr>
            </w:pPr>
            <w:r>
              <w:rPr>
                <w:rFonts w:hint="eastAsia" w:ascii="宋体" w:hAnsi="宋体"/>
                <w:color w:val="auto"/>
                <w:sz w:val="18"/>
                <w:szCs w:val="18"/>
                <w:lang w:val="en-US" w:eastAsia="zh-CN"/>
              </w:rPr>
              <w:t>9</w:t>
            </w:r>
            <w:r>
              <w:rPr>
                <w:rFonts w:hint="eastAsia" w:ascii="宋体" w:hAnsi="宋体"/>
                <w:color w:val="auto"/>
                <w:sz w:val="18"/>
                <w:szCs w:val="18"/>
              </w:rPr>
              <w:t>.</w:t>
            </w:r>
            <w:r>
              <w:rPr>
                <w:rFonts w:hint="eastAsia" w:ascii="宋体" w:hAnsi="宋体"/>
                <w:color w:val="auto"/>
                <w:sz w:val="18"/>
                <w:szCs w:val="18"/>
                <w:lang w:val="en-US" w:eastAsia="zh-CN"/>
              </w:rPr>
              <w:t>申请人</w:t>
            </w:r>
            <w:r>
              <w:rPr>
                <w:rFonts w:hint="eastAsia" w:ascii="宋体" w:hAnsi="宋体"/>
                <w:color w:val="auto"/>
                <w:sz w:val="18"/>
                <w:szCs w:val="18"/>
              </w:rPr>
              <w:t>被认定为</w:t>
            </w:r>
            <w:r>
              <w:rPr>
                <w:rFonts w:hint="eastAsia" w:ascii="宋体" w:hAnsi="宋体"/>
                <w:color w:val="auto"/>
                <w:sz w:val="18"/>
                <w:szCs w:val="18"/>
                <w:lang w:eastAsia="zh-CN"/>
              </w:rPr>
              <w:t>中国独角兽企业</w:t>
            </w:r>
          </w:p>
        </w:tc>
        <w:tc>
          <w:tcPr>
            <w:tcW w:w="721" w:type="dxa"/>
            <w:vAlign w:val="center"/>
          </w:tcPr>
          <w:p w14:paraId="0AB6AA60">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lang w:val="en-US" w:eastAsia="zh-CN"/>
              </w:rPr>
              <w:t>9</w:t>
            </w:r>
            <w:r>
              <w:rPr>
                <w:rFonts w:hint="eastAsia" w:ascii="宋体" w:hAnsi="宋体"/>
                <w:color w:val="auto"/>
                <w:sz w:val="18"/>
                <w:szCs w:val="18"/>
              </w:rPr>
              <w:t>0分</w:t>
            </w:r>
          </w:p>
        </w:tc>
        <w:tc>
          <w:tcPr>
            <w:tcW w:w="494" w:type="dxa"/>
            <w:vAlign w:val="center"/>
          </w:tcPr>
          <w:p w14:paraId="1CB2D2E2">
            <w:pPr>
              <w:adjustRightInd w:val="0"/>
              <w:snapToGrid w:val="0"/>
              <w:jc w:val="center"/>
              <w:rPr>
                <w:rFonts w:ascii="宋体" w:hAnsi="宋体" w:cs="宋体"/>
                <w:snapToGrid w:val="0"/>
                <w:color w:val="auto"/>
                <w:spacing w:val="2"/>
                <w:kern w:val="0"/>
                <w:sz w:val="18"/>
                <w:szCs w:val="18"/>
              </w:rPr>
            </w:pPr>
          </w:p>
        </w:tc>
      </w:tr>
      <w:tr w14:paraId="4EEA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Align w:val="center"/>
          </w:tcPr>
          <w:p w14:paraId="230CAB86">
            <w:pPr>
              <w:jc w:val="center"/>
              <w:rPr>
                <w:color w:val="auto"/>
                <w:sz w:val="18"/>
                <w:szCs w:val="18"/>
              </w:rPr>
            </w:pPr>
            <w:r>
              <w:rPr>
                <w:rFonts w:hint="eastAsia" w:ascii="宋体" w:hAnsi="宋体"/>
                <w:color w:val="auto"/>
                <w:sz w:val="18"/>
                <w:szCs w:val="18"/>
              </w:rPr>
              <w:t>加分项</w:t>
            </w:r>
            <w:r>
              <w:rPr>
                <w:rFonts w:ascii="宋体" w:hAnsi="宋体"/>
                <w:color w:val="auto"/>
                <w:sz w:val="18"/>
                <w:szCs w:val="18"/>
              </w:rPr>
              <w:t>5</w:t>
            </w:r>
          </w:p>
        </w:tc>
        <w:tc>
          <w:tcPr>
            <w:tcW w:w="7363" w:type="dxa"/>
            <w:vAlign w:val="center"/>
          </w:tcPr>
          <w:p w14:paraId="381CE68F">
            <w:pPr>
              <w:adjustRightInd w:val="0"/>
              <w:snapToGrid w:val="0"/>
              <w:jc w:val="left"/>
              <w:rPr>
                <w:rFonts w:ascii="宋体" w:hAnsi="宋体" w:cs="宋体"/>
                <w:color w:val="auto"/>
                <w:sz w:val="18"/>
                <w:szCs w:val="18"/>
              </w:rPr>
            </w:pPr>
            <w:r>
              <w:rPr>
                <w:rFonts w:hint="eastAsia" w:ascii="宋体" w:hAnsi="宋体"/>
                <w:color w:val="auto"/>
                <w:sz w:val="18"/>
                <w:szCs w:val="18"/>
                <w:lang w:val="en-US" w:eastAsia="zh-CN"/>
              </w:rPr>
              <w:t>10</w:t>
            </w:r>
            <w:r>
              <w:rPr>
                <w:rFonts w:hint="eastAsia" w:ascii="宋体" w:hAnsi="宋体"/>
                <w:color w:val="auto"/>
                <w:sz w:val="18"/>
                <w:szCs w:val="18"/>
              </w:rPr>
              <w:t>.</w:t>
            </w:r>
            <w:r>
              <w:rPr>
                <w:rFonts w:hint="eastAsia" w:ascii="宋体" w:hAnsi="宋体"/>
                <w:color w:val="auto"/>
                <w:sz w:val="18"/>
                <w:szCs w:val="18"/>
                <w:lang w:val="en-US" w:eastAsia="zh-CN"/>
              </w:rPr>
              <w:t>申请人</w:t>
            </w:r>
            <w:r>
              <w:rPr>
                <w:rFonts w:hint="eastAsia" w:ascii="宋体" w:hAnsi="宋体"/>
                <w:color w:val="auto"/>
                <w:sz w:val="18"/>
                <w:szCs w:val="18"/>
              </w:rPr>
              <w:t>被认定为国家级制造业单项冠军</w:t>
            </w:r>
          </w:p>
        </w:tc>
        <w:tc>
          <w:tcPr>
            <w:tcW w:w="721" w:type="dxa"/>
            <w:vAlign w:val="center"/>
          </w:tcPr>
          <w:p w14:paraId="47C5BC3D">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lang w:val="en-US" w:eastAsia="zh-CN"/>
              </w:rPr>
              <w:t>9</w:t>
            </w:r>
            <w:r>
              <w:rPr>
                <w:rFonts w:hint="eastAsia" w:ascii="宋体" w:hAnsi="宋体"/>
                <w:color w:val="auto"/>
                <w:sz w:val="18"/>
                <w:szCs w:val="18"/>
              </w:rPr>
              <w:t>0分</w:t>
            </w:r>
          </w:p>
        </w:tc>
        <w:tc>
          <w:tcPr>
            <w:tcW w:w="494" w:type="dxa"/>
            <w:vAlign w:val="center"/>
          </w:tcPr>
          <w:p w14:paraId="07D34429">
            <w:pPr>
              <w:adjustRightInd w:val="0"/>
              <w:snapToGrid w:val="0"/>
              <w:jc w:val="center"/>
              <w:rPr>
                <w:rFonts w:ascii="宋体" w:hAnsi="宋体" w:cs="宋体"/>
                <w:snapToGrid w:val="0"/>
                <w:color w:val="auto"/>
                <w:spacing w:val="2"/>
                <w:kern w:val="0"/>
                <w:sz w:val="18"/>
                <w:szCs w:val="18"/>
              </w:rPr>
            </w:pPr>
          </w:p>
        </w:tc>
      </w:tr>
      <w:tr w14:paraId="4902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Align w:val="center"/>
          </w:tcPr>
          <w:p w14:paraId="46C77577">
            <w:pPr>
              <w:jc w:val="center"/>
              <w:rPr>
                <w:rFonts w:ascii="宋体" w:hAnsi="宋体"/>
                <w:color w:val="auto"/>
                <w:sz w:val="18"/>
                <w:szCs w:val="18"/>
              </w:rPr>
            </w:pPr>
            <w:r>
              <w:rPr>
                <w:rFonts w:hint="eastAsia" w:ascii="宋体" w:hAnsi="宋体"/>
                <w:color w:val="auto"/>
                <w:sz w:val="18"/>
                <w:szCs w:val="18"/>
              </w:rPr>
              <w:t>加分项</w:t>
            </w:r>
            <w:r>
              <w:rPr>
                <w:rFonts w:ascii="宋体" w:hAnsi="宋体"/>
                <w:color w:val="auto"/>
                <w:sz w:val="18"/>
                <w:szCs w:val="18"/>
              </w:rPr>
              <w:t>6</w:t>
            </w:r>
          </w:p>
        </w:tc>
        <w:tc>
          <w:tcPr>
            <w:tcW w:w="7363" w:type="dxa"/>
            <w:vAlign w:val="center"/>
          </w:tcPr>
          <w:p w14:paraId="6CF22833">
            <w:pPr>
              <w:adjustRightInd w:val="0"/>
              <w:snapToGrid w:val="0"/>
              <w:jc w:val="lef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lang w:val="en-US" w:eastAsia="zh-CN"/>
              </w:rPr>
              <w:t>1</w:t>
            </w:r>
            <w:r>
              <w:rPr>
                <w:rFonts w:hint="eastAsia" w:ascii="宋体" w:hAnsi="宋体"/>
                <w:color w:val="auto"/>
                <w:sz w:val="18"/>
                <w:szCs w:val="18"/>
              </w:rPr>
              <w:t>.</w:t>
            </w:r>
            <w:r>
              <w:rPr>
                <w:rFonts w:hint="eastAsia" w:ascii="宋体" w:hAnsi="宋体"/>
                <w:color w:val="auto"/>
                <w:sz w:val="18"/>
                <w:szCs w:val="18"/>
                <w:lang w:val="en-US" w:eastAsia="zh-CN"/>
              </w:rPr>
              <w:t>申请人</w:t>
            </w:r>
            <w:r>
              <w:rPr>
                <w:rFonts w:hint="eastAsia" w:ascii="宋体" w:hAnsi="宋体"/>
                <w:color w:val="auto"/>
                <w:sz w:val="18"/>
                <w:szCs w:val="18"/>
              </w:rPr>
              <w:t>被认定为省级老字号企业</w:t>
            </w:r>
          </w:p>
        </w:tc>
        <w:tc>
          <w:tcPr>
            <w:tcW w:w="721" w:type="dxa"/>
            <w:vAlign w:val="center"/>
          </w:tcPr>
          <w:p w14:paraId="20FD21CB">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0分</w:t>
            </w:r>
          </w:p>
        </w:tc>
        <w:tc>
          <w:tcPr>
            <w:tcW w:w="494" w:type="dxa"/>
            <w:vAlign w:val="center"/>
          </w:tcPr>
          <w:p w14:paraId="2A062690">
            <w:pPr>
              <w:adjustRightInd w:val="0"/>
              <w:snapToGrid w:val="0"/>
              <w:jc w:val="center"/>
              <w:rPr>
                <w:rFonts w:ascii="宋体" w:hAnsi="宋体" w:cs="宋体"/>
                <w:snapToGrid w:val="0"/>
                <w:color w:val="auto"/>
                <w:spacing w:val="2"/>
                <w:kern w:val="0"/>
                <w:sz w:val="18"/>
                <w:szCs w:val="18"/>
              </w:rPr>
            </w:pPr>
          </w:p>
        </w:tc>
      </w:tr>
      <w:tr w14:paraId="6949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restart"/>
            <w:vAlign w:val="center"/>
          </w:tcPr>
          <w:p w14:paraId="7754B216">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加分项7</w:t>
            </w:r>
          </w:p>
        </w:tc>
        <w:tc>
          <w:tcPr>
            <w:tcW w:w="7363" w:type="dxa"/>
            <w:vAlign w:val="center"/>
          </w:tcPr>
          <w:p w14:paraId="3A57A64F">
            <w:pPr>
              <w:adjustRightInd w:val="0"/>
              <w:snapToGrid w:val="0"/>
              <w:jc w:val="lef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12.申请人被认定为国家专精特新小巨人企业</w:t>
            </w:r>
          </w:p>
        </w:tc>
        <w:tc>
          <w:tcPr>
            <w:tcW w:w="721" w:type="dxa"/>
            <w:vAlign w:val="center"/>
          </w:tcPr>
          <w:p w14:paraId="6B43793D">
            <w:pPr>
              <w:adjustRightInd w:val="0"/>
              <w:snapToGrid w:val="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60分</w:t>
            </w:r>
          </w:p>
        </w:tc>
        <w:tc>
          <w:tcPr>
            <w:tcW w:w="494" w:type="dxa"/>
            <w:vAlign w:val="center"/>
          </w:tcPr>
          <w:p w14:paraId="66056D98">
            <w:pPr>
              <w:adjustRightInd w:val="0"/>
              <w:snapToGrid w:val="0"/>
              <w:jc w:val="center"/>
              <w:rPr>
                <w:rFonts w:ascii="宋体" w:hAnsi="宋体" w:cs="宋体"/>
                <w:snapToGrid w:val="0"/>
                <w:color w:val="auto"/>
                <w:spacing w:val="2"/>
                <w:kern w:val="0"/>
                <w:sz w:val="18"/>
                <w:szCs w:val="18"/>
              </w:rPr>
            </w:pPr>
          </w:p>
        </w:tc>
      </w:tr>
      <w:tr w14:paraId="2A3C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vAlign w:val="center"/>
          </w:tcPr>
          <w:p w14:paraId="4DE58C04">
            <w:pPr>
              <w:jc w:val="center"/>
              <w:rPr>
                <w:rFonts w:hint="eastAsia" w:ascii="宋体" w:hAnsi="宋体"/>
                <w:color w:val="auto"/>
                <w:sz w:val="18"/>
                <w:szCs w:val="18"/>
                <w:lang w:val="en-US" w:eastAsia="zh-CN"/>
              </w:rPr>
            </w:pPr>
          </w:p>
        </w:tc>
        <w:tc>
          <w:tcPr>
            <w:tcW w:w="7363" w:type="dxa"/>
            <w:vAlign w:val="center"/>
          </w:tcPr>
          <w:p w14:paraId="3CC72BA9">
            <w:pPr>
              <w:adjustRightInd w:val="0"/>
              <w:snapToGrid w:val="0"/>
              <w:jc w:val="left"/>
              <w:rPr>
                <w:rFonts w:hint="default" w:ascii="宋体" w:hAnsi="宋体"/>
                <w:color w:val="auto"/>
                <w:sz w:val="18"/>
                <w:szCs w:val="18"/>
                <w:lang w:val="en-US" w:eastAsia="zh-CN"/>
              </w:rPr>
            </w:pPr>
            <w:r>
              <w:rPr>
                <w:rFonts w:hint="eastAsia" w:ascii="宋体" w:hAnsi="宋体"/>
                <w:color w:val="auto"/>
                <w:sz w:val="18"/>
                <w:szCs w:val="18"/>
                <w:lang w:val="en-US" w:eastAsia="zh-CN"/>
              </w:rPr>
              <w:t>13.申请人被认定为省专精特新企业</w:t>
            </w:r>
          </w:p>
        </w:tc>
        <w:tc>
          <w:tcPr>
            <w:tcW w:w="721" w:type="dxa"/>
            <w:vAlign w:val="center"/>
          </w:tcPr>
          <w:p w14:paraId="32C37409">
            <w:pPr>
              <w:adjustRightInd w:val="0"/>
              <w:snapToGrid w:val="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40分</w:t>
            </w:r>
          </w:p>
        </w:tc>
        <w:tc>
          <w:tcPr>
            <w:tcW w:w="494" w:type="dxa"/>
            <w:vAlign w:val="center"/>
          </w:tcPr>
          <w:p w14:paraId="2A9A7777">
            <w:pPr>
              <w:adjustRightInd w:val="0"/>
              <w:snapToGrid w:val="0"/>
              <w:jc w:val="center"/>
              <w:rPr>
                <w:rFonts w:ascii="宋体" w:hAnsi="宋体" w:cs="宋体"/>
                <w:snapToGrid w:val="0"/>
                <w:color w:val="auto"/>
                <w:spacing w:val="2"/>
                <w:kern w:val="0"/>
                <w:sz w:val="18"/>
                <w:szCs w:val="18"/>
              </w:rPr>
            </w:pPr>
          </w:p>
        </w:tc>
      </w:tr>
      <w:tr w14:paraId="0D4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92" w:type="dxa"/>
            <w:vMerge w:val="restart"/>
            <w:vAlign w:val="center"/>
          </w:tcPr>
          <w:p w14:paraId="14E76368">
            <w:pPr>
              <w:adjustRightInd w:val="0"/>
              <w:snapToGrid w:val="0"/>
              <w:jc w:val="center"/>
              <w:rPr>
                <w:rFonts w:hint="eastAsia" w:ascii="宋体" w:hAnsi="宋体" w:eastAsia="宋体" w:cs="宋体"/>
                <w:snapToGrid w:val="0"/>
                <w:color w:val="auto"/>
                <w:spacing w:val="2"/>
                <w:kern w:val="0"/>
                <w:sz w:val="18"/>
                <w:szCs w:val="18"/>
                <w:lang w:eastAsia="zh-CN"/>
              </w:rPr>
            </w:pPr>
            <w:r>
              <w:rPr>
                <w:rFonts w:hint="eastAsia" w:ascii="宋体" w:hAnsi="宋体" w:cs="宋体"/>
                <w:snapToGrid w:val="0"/>
                <w:color w:val="auto"/>
                <w:spacing w:val="2"/>
                <w:kern w:val="0"/>
                <w:sz w:val="18"/>
                <w:szCs w:val="18"/>
              </w:rPr>
              <w:t>加分项</w:t>
            </w:r>
            <w:r>
              <w:rPr>
                <w:rFonts w:hint="eastAsia" w:ascii="宋体" w:hAnsi="宋体" w:cs="宋体"/>
                <w:snapToGrid w:val="0"/>
                <w:color w:val="auto"/>
                <w:spacing w:val="2"/>
                <w:kern w:val="0"/>
                <w:sz w:val="18"/>
                <w:szCs w:val="18"/>
                <w:lang w:val="en-US" w:eastAsia="zh-CN"/>
              </w:rPr>
              <w:t>8</w:t>
            </w:r>
          </w:p>
        </w:tc>
        <w:tc>
          <w:tcPr>
            <w:tcW w:w="7363" w:type="dxa"/>
            <w:vAlign w:val="center"/>
          </w:tcPr>
          <w:p w14:paraId="0BDD3DCA">
            <w:pPr>
              <w:adjustRightInd w:val="0"/>
              <w:snapToGrid w:val="0"/>
              <w:jc w:val="left"/>
              <w:rPr>
                <w:rFonts w:ascii="宋体" w:hAnsi="宋体" w:cs="宋体"/>
                <w:snapToGrid w:val="0"/>
                <w:color w:val="auto"/>
                <w:spacing w:val="2"/>
                <w:kern w:val="0"/>
                <w:sz w:val="18"/>
                <w:szCs w:val="18"/>
              </w:rPr>
            </w:pPr>
            <w:r>
              <w:rPr>
                <w:rFonts w:ascii="宋体" w:hAnsi="宋体"/>
                <w:color w:val="auto"/>
                <w:sz w:val="18"/>
                <w:szCs w:val="18"/>
              </w:rPr>
              <w:t>1</w:t>
            </w:r>
            <w:r>
              <w:rPr>
                <w:rFonts w:hint="eastAsia" w:ascii="宋体" w:hAnsi="宋体"/>
                <w:color w:val="auto"/>
                <w:sz w:val="18"/>
                <w:szCs w:val="18"/>
                <w:lang w:val="en-US" w:eastAsia="zh-CN"/>
              </w:rPr>
              <w:t>4</w:t>
            </w:r>
            <w:r>
              <w:rPr>
                <w:rFonts w:hint="eastAsia" w:ascii="宋体" w:hAnsi="宋体"/>
                <w:color w:val="auto"/>
                <w:sz w:val="18"/>
                <w:szCs w:val="18"/>
              </w:rPr>
              <w:t>.</w:t>
            </w:r>
            <w:r>
              <w:rPr>
                <w:rFonts w:hint="eastAsia" w:hAnsi="宋体" w:cs="宋体"/>
                <w:color w:val="auto"/>
                <w:sz w:val="18"/>
                <w:szCs w:val="18"/>
              </w:rPr>
              <w:t>申请字号的企业主体</w:t>
            </w:r>
            <w:r>
              <w:rPr>
                <w:rFonts w:hint="eastAsia" w:ascii="宋体" w:hAnsi="宋体"/>
                <w:color w:val="auto"/>
                <w:sz w:val="18"/>
                <w:szCs w:val="18"/>
              </w:rPr>
              <w:t>近 3 年纳税额，纳税额在省级行业协会划定的纳税额指标线 150%及以上的</w:t>
            </w:r>
          </w:p>
        </w:tc>
        <w:tc>
          <w:tcPr>
            <w:tcW w:w="721" w:type="dxa"/>
            <w:vAlign w:val="center"/>
          </w:tcPr>
          <w:p w14:paraId="419819EB">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lang w:val="en-US" w:eastAsia="zh-CN"/>
              </w:rPr>
              <w:t>6</w:t>
            </w:r>
            <w:r>
              <w:rPr>
                <w:rFonts w:hint="eastAsia" w:ascii="宋体" w:hAnsi="宋体"/>
                <w:color w:val="auto"/>
                <w:sz w:val="18"/>
                <w:szCs w:val="18"/>
              </w:rPr>
              <w:t>0分</w:t>
            </w:r>
          </w:p>
        </w:tc>
        <w:tc>
          <w:tcPr>
            <w:tcW w:w="494" w:type="dxa"/>
            <w:vAlign w:val="center"/>
          </w:tcPr>
          <w:p w14:paraId="0327144E">
            <w:pPr>
              <w:adjustRightInd w:val="0"/>
              <w:snapToGrid w:val="0"/>
              <w:jc w:val="center"/>
              <w:rPr>
                <w:rFonts w:ascii="宋体" w:hAnsi="宋体" w:cs="宋体"/>
                <w:snapToGrid w:val="0"/>
                <w:color w:val="auto"/>
                <w:spacing w:val="2"/>
                <w:kern w:val="0"/>
                <w:sz w:val="18"/>
                <w:szCs w:val="18"/>
              </w:rPr>
            </w:pPr>
          </w:p>
        </w:tc>
      </w:tr>
      <w:tr w14:paraId="3E23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92" w:type="dxa"/>
            <w:vMerge w:val="continue"/>
            <w:vAlign w:val="center"/>
          </w:tcPr>
          <w:p w14:paraId="53548F68">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6E0E612F">
            <w:pPr>
              <w:adjustRightInd w:val="0"/>
              <w:snapToGrid w:val="0"/>
              <w:jc w:val="left"/>
              <w:rPr>
                <w:rFonts w:ascii="宋体" w:hAnsi="宋体" w:cs="宋体"/>
                <w:color w:val="auto"/>
                <w:sz w:val="18"/>
                <w:szCs w:val="18"/>
              </w:rPr>
            </w:pPr>
            <w:r>
              <w:rPr>
                <w:rFonts w:ascii="宋体" w:hAnsi="宋体"/>
                <w:color w:val="auto"/>
                <w:sz w:val="18"/>
                <w:szCs w:val="18"/>
              </w:rPr>
              <w:t>1</w:t>
            </w:r>
            <w:r>
              <w:rPr>
                <w:rFonts w:hint="eastAsia" w:ascii="宋体" w:hAnsi="宋体"/>
                <w:color w:val="auto"/>
                <w:sz w:val="18"/>
                <w:szCs w:val="18"/>
                <w:lang w:val="en-US" w:eastAsia="zh-CN"/>
              </w:rPr>
              <w:t>5</w:t>
            </w:r>
            <w:r>
              <w:rPr>
                <w:rFonts w:hint="eastAsia" w:ascii="宋体" w:hAnsi="宋体"/>
                <w:color w:val="auto"/>
                <w:sz w:val="18"/>
                <w:szCs w:val="18"/>
              </w:rPr>
              <w:t>.</w:t>
            </w:r>
            <w:r>
              <w:rPr>
                <w:rFonts w:hint="eastAsia" w:hAnsi="宋体" w:cs="宋体"/>
                <w:color w:val="auto"/>
                <w:sz w:val="18"/>
                <w:szCs w:val="18"/>
              </w:rPr>
              <w:t>申请字号的企业主体</w:t>
            </w:r>
            <w:r>
              <w:rPr>
                <w:rFonts w:hint="eastAsia" w:ascii="宋体" w:hAnsi="宋体"/>
                <w:color w:val="auto"/>
                <w:sz w:val="18"/>
                <w:szCs w:val="18"/>
              </w:rPr>
              <w:t>近 3 年纳税额，纳税额在省级行业协会划定的纳税额指标线 100%～150%的</w:t>
            </w:r>
          </w:p>
        </w:tc>
        <w:tc>
          <w:tcPr>
            <w:tcW w:w="721" w:type="dxa"/>
            <w:vAlign w:val="center"/>
          </w:tcPr>
          <w:p w14:paraId="38B345E1">
            <w:pPr>
              <w:adjustRightInd w:val="0"/>
              <w:snapToGrid w:val="0"/>
              <w:jc w:val="center"/>
              <w:rPr>
                <w:rFonts w:ascii="宋体" w:hAnsi="宋体" w:cs="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0分</w:t>
            </w:r>
          </w:p>
        </w:tc>
        <w:tc>
          <w:tcPr>
            <w:tcW w:w="494" w:type="dxa"/>
            <w:vAlign w:val="center"/>
          </w:tcPr>
          <w:p w14:paraId="508CA1AD">
            <w:pPr>
              <w:adjustRightInd w:val="0"/>
              <w:snapToGrid w:val="0"/>
              <w:jc w:val="center"/>
              <w:rPr>
                <w:rFonts w:ascii="宋体" w:hAnsi="宋体" w:cs="宋体"/>
                <w:snapToGrid w:val="0"/>
                <w:color w:val="auto"/>
                <w:spacing w:val="2"/>
                <w:kern w:val="0"/>
                <w:sz w:val="18"/>
                <w:szCs w:val="18"/>
              </w:rPr>
            </w:pPr>
          </w:p>
        </w:tc>
      </w:tr>
      <w:tr w14:paraId="6F92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92" w:type="dxa"/>
            <w:vMerge w:val="continue"/>
            <w:vAlign w:val="center"/>
          </w:tcPr>
          <w:p w14:paraId="6D668063">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10584610">
            <w:pPr>
              <w:adjustRightInd w:val="0"/>
              <w:snapToGrid w:val="0"/>
              <w:jc w:val="left"/>
              <w:rPr>
                <w:rFonts w:ascii="宋体" w:hAnsi="宋体" w:cs="宋体"/>
                <w:color w:val="auto"/>
                <w:sz w:val="18"/>
                <w:szCs w:val="18"/>
              </w:rPr>
            </w:pPr>
            <w:r>
              <w:rPr>
                <w:rFonts w:ascii="宋体" w:hAnsi="宋体"/>
                <w:color w:val="auto"/>
                <w:sz w:val="18"/>
                <w:szCs w:val="18"/>
              </w:rPr>
              <w:t>1</w:t>
            </w:r>
            <w:r>
              <w:rPr>
                <w:rFonts w:hint="eastAsia" w:ascii="宋体" w:hAnsi="宋体"/>
                <w:color w:val="auto"/>
                <w:sz w:val="18"/>
                <w:szCs w:val="18"/>
                <w:lang w:val="en-US" w:eastAsia="zh-CN"/>
              </w:rPr>
              <w:t>6</w:t>
            </w:r>
            <w:r>
              <w:rPr>
                <w:rFonts w:hint="eastAsia" w:ascii="宋体" w:hAnsi="宋体"/>
                <w:color w:val="auto"/>
                <w:sz w:val="18"/>
                <w:szCs w:val="18"/>
              </w:rPr>
              <w:t>.</w:t>
            </w:r>
            <w:r>
              <w:rPr>
                <w:rFonts w:hint="eastAsia" w:hAnsi="宋体" w:cs="宋体"/>
                <w:color w:val="auto"/>
                <w:sz w:val="18"/>
                <w:szCs w:val="18"/>
              </w:rPr>
              <w:t>申请字号的企业主体</w:t>
            </w:r>
            <w:r>
              <w:rPr>
                <w:rFonts w:hint="eastAsia" w:ascii="宋体" w:hAnsi="宋体"/>
                <w:color w:val="auto"/>
                <w:sz w:val="18"/>
                <w:szCs w:val="18"/>
              </w:rPr>
              <w:t>近 3 年纳税额，纳税额在省级行业协会划定的纳税额指标线 80%～100%的</w:t>
            </w:r>
          </w:p>
        </w:tc>
        <w:tc>
          <w:tcPr>
            <w:tcW w:w="721" w:type="dxa"/>
            <w:vAlign w:val="center"/>
          </w:tcPr>
          <w:p w14:paraId="25847D1A">
            <w:pPr>
              <w:adjustRightInd w:val="0"/>
              <w:snapToGrid w:val="0"/>
              <w:jc w:val="center"/>
              <w:rPr>
                <w:rFonts w:ascii="宋体" w:hAnsi="宋体" w:cs="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0分</w:t>
            </w:r>
          </w:p>
        </w:tc>
        <w:tc>
          <w:tcPr>
            <w:tcW w:w="494" w:type="dxa"/>
            <w:vAlign w:val="center"/>
          </w:tcPr>
          <w:p w14:paraId="66C00524">
            <w:pPr>
              <w:adjustRightInd w:val="0"/>
              <w:snapToGrid w:val="0"/>
              <w:jc w:val="center"/>
              <w:rPr>
                <w:rFonts w:ascii="宋体" w:hAnsi="宋体" w:cs="宋体"/>
                <w:snapToGrid w:val="0"/>
                <w:color w:val="auto"/>
                <w:spacing w:val="2"/>
                <w:kern w:val="0"/>
                <w:sz w:val="18"/>
                <w:szCs w:val="18"/>
              </w:rPr>
            </w:pPr>
          </w:p>
        </w:tc>
      </w:tr>
      <w:tr w14:paraId="723B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92" w:type="dxa"/>
            <w:vMerge w:val="restart"/>
            <w:vAlign w:val="center"/>
          </w:tcPr>
          <w:p w14:paraId="54E91478">
            <w:pPr>
              <w:adjustRightInd w:val="0"/>
              <w:snapToGrid w:val="0"/>
              <w:jc w:val="center"/>
              <w:rPr>
                <w:rFonts w:hint="eastAsia" w:ascii="宋体" w:hAnsi="宋体" w:eastAsia="宋体" w:cs="宋体"/>
                <w:snapToGrid w:val="0"/>
                <w:color w:val="auto"/>
                <w:spacing w:val="2"/>
                <w:kern w:val="0"/>
                <w:sz w:val="18"/>
                <w:szCs w:val="18"/>
                <w:lang w:eastAsia="zh-CN"/>
              </w:rPr>
            </w:pPr>
            <w:r>
              <w:rPr>
                <w:rFonts w:hint="eastAsia" w:ascii="宋体" w:hAnsi="宋体" w:cs="宋体"/>
                <w:snapToGrid w:val="0"/>
                <w:color w:val="auto"/>
                <w:spacing w:val="2"/>
                <w:kern w:val="0"/>
                <w:sz w:val="18"/>
                <w:szCs w:val="18"/>
              </w:rPr>
              <w:t>加分项</w:t>
            </w:r>
            <w:r>
              <w:rPr>
                <w:rFonts w:hint="eastAsia" w:ascii="宋体" w:hAnsi="宋体" w:cs="宋体"/>
                <w:snapToGrid w:val="0"/>
                <w:color w:val="auto"/>
                <w:spacing w:val="2"/>
                <w:kern w:val="0"/>
                <w:sz w:val="18"/>
                <w:szCs w:val="18"/>
                <w:lang w:val="en-US" w:eastAsia="zh-CN"/>
              </w:rPr>
              <w:t>9</w:t>
            </w:r>
          </w:p>
        </w:tc>
        <w:tc>
          <w:tcPr>
            <w:tcW w:w="7363" w:type="dxa"/>
            <w:vAlign w:val="center"/>
          </w:tcPr>
          <w:p w14:paraId="0CC31DEF">
            <w:pPr>
              <w:adjustRightInd w:val="0"/>
              <w:snapToGrid w:val="0"/>
              <w:jc w:val="left"/>
              <w:rPr>
                <w:rFonts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7</w:t>
            </w:r>
            <w:r>
              <w:rPr>
                <w:rFonts w:hint="eastAsia" w:ascii="宋体" w:hAnsi="宋体"/>
                <w:color w:val="auto"/>
                <w:sz w:val="18"/>
                <w:szCs w:val="18"/>
              </w:rPr>
              <w:t>.字号权受到严重侵害的证明材料6宗以上</w:t>
            </w:r>
          </w:p>
        </w:tc>
        <w:tc>
          <w:tcPr>
            <w:tcW w:w="721" w:type="dxa"/>
            <w:vAlign w:val="center"/>
          </w:tcPr>
          <w:p w14:paraId="3460013D">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6</w:t>
            </w:r>
            <w:r>
              <w:rPr>
                <w:rFonts w:hint="eastAsia" w:ascii="宋体" w:hAnsi="宋体"/>
                <w:color w:val="auto"/>
                <w:sz w:val="18"/>
                <w:szCs w:val="18"/>
              </w:rPr>
              <w:t>0分</w:t>
            </w:r>
          </w:p>
        </w:tc>
        <w:tc>
          <w:tcPr>
            <w:tcW w:w="494" w:type="dxa"/>
            <w:vAlign w:val="center"/>
          </w:tcPr>
          <w:p w14:paraId="621C4977">
            <w:pPr>
              <w:adjustRightInd w:val="0"/>
              <w:snapToGrid w:val="0"/>
              <w:jc w:val="center"/>
              <w:rPr>
                <w:rFonts w:ascii="宋体" w:hAnsi="宋体" w:cs="宋体"/>
                <w:snapToGrid w:val="0"/>
                <w:color w:val="auto"/>
                <w:spacing w:val="2"/>
                <w:kern w:val="0"/>
                <w:sz w:val="18"/>
                <w:szCs w:val="18"/>
              </w:rPr>
            </w:pPr>
          </w:p>
        </w:tc>
      </w:tr>
      <w:tr w14:paraId="13DC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92" w:type="dxa"/>
            <w:vMerge w:val="continue"/>
            <w:vAlign w:val="center"/>
          </w:tcPr>
          <w:p w14:paraId="65EA3575">
            <w:pPr>
              <w:adjustRightInd w:val="0"/>
              <w:snapToGrid w:val="0"/>
              <w:jc w:val="center"/>
              <w:rPr>
                <w:color w:val="auto"/>
              </w:rPr>
            </w:pPr>
          </w:p>
        </w:tc>
        <w:tc>
          <w:tcPr>
            <w:tcW w:w="7363" w:type="dxa"/>
            <w:vAlign w:val="center"/>
          </w:tcPr>
          <w:p w14:paraId="6511B33A">
            <w:pPr>
              <w:adjustRightInd w:val="0"/>
              <w:snapToGrid w:val="0"/>
              <w:jc w:val="left"/>
              <w:rPr>
                <w:rFonts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8.</w:t>
            </w:r>
            <w:r>
              <w:rPr>
                <w:rFonts w:hint="eastAsia" w:ascii="宋体" w:hAnsi="宋体"/>
                <w:color w:val="auto"/>
                <w:sz w:val="18"/>
                <w:szCs w:val="18"/>
              </w:rPr>
              <w:t>字号权受到严重侵害的证明材料3-5宗</w:t>
            </w:r>
          </w:p>
        </w:tc>
        <w:tc>
          <w:tcPr>
            <w:tcW w:w="721" w:type="dxa"/>
            <w:vAlign w:val="center"/>
          </w:tcPr>
          <w:p w14:paraId="73159D39">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5</w:t>
            </w:r>
            <w:r>
              <w:rPr>
                <w:rFonts w:hint="eastAsia" w:ascii="宋体" w:hAnsi="宋体"/>
                <w:color w:val="auto"/>
                <w:sz w:val="18"/>
                <w:szCs w:val="18"/>
              </w:rPr>
              <w:t>0分</w:t>
            </w:r>
          </w:p>
        </w:tc>
        <w:tc>
          <w:tcPr>
            <w:tcW w:w="494" w:type="dxa"/>
            <w:vAlign w:val="center"/>
          </w:tcPr>
          <w:p w14:paraId="1F3D75CA">
            <w:pPr>
              <w:adjustRightInd w:val="0"/>
              <w:snapToGrid w:val="0"/>
              <w:jc w:val="center"/>
              <w:rPr>
                <w:rFonts w:ascii="宋体" w:hAnsi="宋体"/>
                <w:color w:val="auto"/>
                <w:sz w:val="18"/>
                <w:szCs w:val="18"/>
              </w:rPr>
            </w:pPr>
          </w:p>
        </w:tc>
      </w:tr>
      <w:tr w14:paraId="46E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92" w:type="dxa"/>
            <w:vMerge w:val="continue"/>
            <w:vAlign w:val="center"/>
          </w:tcPr>
          <w:p w14:paraId="10A84BA4">
            <w:pPr>
              <w:adjustRightInd w:val="0"/>
              <w:snapToGrid w:val="0"/>
              <w:jc w:val="center"/>
              <w:rPr>
                <w:rFonts w:ascii="宋体" w:hAnsi="宋体"/>
                <w:color w:val="auto"/>
                <w:sz w:val="18"/>
                <w:szCs w:val="18"/>
              </w:rPr>
            </w:pPr>
          </w:p>
        </w:tc>
        <w:tc>
          <w:tcPr>
            <w:tcW w:w="7363" w:type="dxa"/>
            <w:vAlign w:val="center"/>
          </w:tcPr>
          <w:p w14:paraId="236A9F88">
            <w:pPr>
              <w:adjustRightInd w:val="0"/>
              <w:snapToGrid w:val="0"/>
              <w:jc w:val="left"/>
              <w:rPr>
                <w:rFonts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9</w:t>
            </w:r>
            <w:r>
              <w:rPr>
                <w:rFonts w:hint="eastAsia" w:ascii="宋体" w:hAnsi="宋体"/>
                <w:color w:val="auto"/>
                <w:sz w:val="18"/>
                <w:szCs w:val="18"/>
              </w:rPr>
              <w:t>.字号权受到严重侵害的证明材料1-2宗</w:t>
            </w:r>
          </w:p>
        </w:tc>
        <w:tc>
          <w:tcPr>
            <w:tcW w:w="721" w:type="dxa"/>
            <w:vAlign w:val="center"/>
          </w:tcPr>
          <w:p w14:paraId="4C76ECC9">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0分</w:t>
            </w:r>
          </w:p>
        </w:tc>
        <w:tc>
          <w:tcPr>
            <w:tcW w:w="494" w:type="dxa"/>
            <w:vAlign w:val="center"/>
          </w:tcPr>
          <w:p w14:paraId="0966C6B2">
            <w:pPr>
              <w:adjustRightInd w:val="0"/>
              <w:snapToGrid w:val="0"/>
              <w:jc w:val="center"/>
              <w:rPr>
                <w:rFonts w:ascii="宋体" w:hAnsi="宋体"/>
                <w:color w:val="auto"/>
                <w:sz w:val="18"/>
                <w:szCs w:val="18"/>
              </w:rPr>
            </w:pPr>
          </w:p>
        </w:tc>
      </w:tr>
      <w:tr w14:paraId="4E66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992" w:type="dxa"/>
            <w:vMerge w:val="restart"/>
            <w:vAlign w:val="center"/>
          </w:tcPr>
          <w:p w14:paraId="43BFAB27">
            <w:pPr>
              <w:adjustRightInd w:val="0"/>
              <w:snapToGrid w:val="0"/>
              <w:jc w:val="center"/>
              <w:rPr>
                <w:rFonts w:hint="default" w:ascii="宋体" w:hAnsi="宋体" w:eastAsia="宋体" w:cs="宋体"/>
                <w:snapToGrid w:val="0"/>
                <w:color w:val="auto"/>
                <w:spacing w:val="2"/>
                <w:kern w:val="0"/>
                <w:sz w:val="18"/>
                <w:szCs w:val="18"/>
                <w:lang w:val="en-US" w:eastAsia="zh-CN"/>
              </w:rPr>
            </w:pPr>
            <w:r>
              <w:rPr>
                <w:rFonts w:hint="eastAsia" w:ascii="宋体" w:hAnsi="宋体" w:cs="宋体"/>
                <w:snapToGrid w:val="0"/>
                <w:color w:val="auto"/>
                <w:spacing w:val="2"/>
                <w:kern w:val="0"/>
                <w:sz w:val="18"/>
                <w:szCs w:val="18"/>
              </w:rPr>
              <w:t>加分项</w:t>
            </w:r>
            <w:r>
              <w:rPr>
                <w:rFonts w:hint="eastAsia" w:ascii="宋体" w:hAnsi="宋体" w:cs="宋体"/>
                <w:snapToGrid w:val="0"/>
                <w:color w:val="auto"/>
                <w:spacing w:val="2"/>
                <w:kern w:val="0"/>
                <w:sz w:val="18"/>
                <w:szCs w:val="18"/>
                <w:lang w:val="en-US" w:eastAsia="zh-CN"/>
              </w:rPr>
              <w:t>10</w:t>
            </w:r>
          </w:p>
        </w:tc>
        <w:tc>
          <w:tcPr>
            <w:tcW w:w="7363" w:type="dxa"/>
            <w:vAlign w:val="center"/>
          </w:tcPr>
          <w:p w14:paraId="2B15C6AB">
            <w:pPr>
              <w:adjustRightInd w:val="0"/>
              <w:snapToGrid w:val="0"/>
              <w:jc w:val="left"/>
              <w:rPr>
                <w:rFonts w:ascii="宋体" w:hAnsi="宋体"/>
                <w:color w:val="auto"/>
                <w:sz w:val="18"/>
                <w:szCs w:val="18"/>
              </w:rPr>
            </w:pPr>
            <w:r>
              <w:rPr>
                <w:rFonts w:hint="eastAsia" w:ascii="宋体" w:hAnsi="宋体"/>
                <w:color w:val="auto"/>
                <w:sz w:val="18"/>
                <w:szCs w:val="18"/>
                <w:lang w:val="en-US" w:eastAsia="zh-CN"/>
              </w:rPr>
              <w:t>20</w:t>
            </w:r>
            <w:r>
              <w:rPr>
                <w:rFonts w:hint="eastAsia" w:ascii="宋体" w:hAnsi="宋体"/>
                <w:color w:val="auto"/>
                <w:sz w:val="18"/>
                <w:szCs w:val="18"/>
              </w:rPr>
              <w:t>.产品销售（服务）覆盖全省</w:t>
            </w:r>
            <w:r>
              <w:rPr>
                <w:rFonts w:hint="eastAsia" w:ascii="宋体" w:hAnsi="宋体"/>
                <w:color w:val="auto"/>
                <w:sz w:val="18"/>
                <w:szCs w:val="18"/>
                <w:lang w:val="en-US" w:eastAsia="zh-CN"/>
              </w:rPr>
              <w:t>15个地级市</w:t>
            </w:r>
            <w:r>
              <w:rPr>
                <w:rFonts w:hint="eastAsia" w:ascii="宋体" w:hAnsi="宋体"/>
                <w:color w:val="auto"/>
                <w:sz w:val="18"/>
                <w:szCs w:val="18"/>
              </w:rPr>
              <w:t>或辐射不少于</w:t>
            </w:r>
            <w:r>
              <w:rPr>
                <w:rFonts w:hint="eastAsia" w:ascii="宋体" w:hAnsi="宋体"/>
                <w:color w:val="auto"/>
                <w:sz w:val="18"/>
                <w:szCs w:val="18"/>
                <w:lang w:val="en-US" w:eastAsia="zh-CN"/>
              </w:rPr>
              <w:t>5</w:t>
            </w:r>
            <w:r>
              <w:rPr>
                <w:rFonts w:hint="eastAsia" w:ascii="宋体" w:hAnsi="宋体"/>
                <w:color w:val="auto"/>
                <w:sz w:val="18"/>
                <w:szCs w:val="18"/>
              </w:rPr>
              <w:t>个其他的省、自治区、直辖市</w:t>
            </w:r>
          </w:p>
        </w:tc>
        <w:tc>
          <w:tcPr>
            <w:tcW w:w="721" w:type="dxa"/>
            <w:vAlign w:val="center"/>
          </w:tcPr>
          <w:p w14:paraId="7D735D3E">
            <w:pPr>
              <w:adjustRightInd w:val="0"/>
              <w:snapToGrid w:val="0"/>
              <w:jc w:val="center"/>
              <w:rPr>
                <w:rFonts w:ascii="宋体" w:hAnsi="宋体" w:cs="宋体"/>
                <w:snapToGrid w:val="0"/>
                <w:color w:val="auto"/>
                <w:spacing w:val="2"/>
                <w:kern w:val="0"/>
                <w:sz w:val="18"/>
                <w:szCs w:val="18"/>
              </w:rPr>
            </w:pPr>
            <w:r>
              <w:rPr>
                <w:rFonts w:hint="eastAsia" w:ascii="宋体" w:hAnsi="宋体"/>
                <w:color w:val="auto"/>
                <w:sz w:val="18"/>
                <w:szCs w:val="18"/>
                <w:lang w:val="en-US" w:eastAsia="zh-CN"/>
              </w:rPr>
              <w:t>6</w:t>
            </w:r>
            <w:r>
              <w:rPr>
                <w:rFonts w:hint="eastAsia" w:ascii="宋体" w:hAnsi="宋体"/>
                <w:color w:val="auto"/>
                <w:sz w:val="18"/>
                <w:szCs w:val="18"/>
              </w:rPr>
              <w:t>0分</w:t>
            </w:r>
          </w:p>
        </w:tc>
        <w:tc>
          <w:tcPr>
            <w:tcW w:w="494" w:type="dxa"/>
            <w:vMerge w:val="restart"/>
            <w:vAlign w:val="center"/>
          </w:tcPr>
          <w:p w14:paraId="4DCD0C88">
            <w:pPr>
              <w:adjustRightInd w:val="0"/>
              <w:snapToGrid w:val="0"/>
              <w:jc w:val="center"/>
              <w:rPr>
                <w:rFonts w:ascii="宋体" w:hAnsi="宋体" w:cs="宋体"/>
                <w:snapToGrid w:val="0"/>
                <w:color w:val="auto"/>
                <w:spacing w:val="2"/>
                <w:kern w:val="0"/>
                <w:sz w:val="18"/>
                <w:szCs w:val="18"/>
              </w:rPr>
            </w:pPr>
          </w:p>
        </w:tc>
      </w:tr>
      <w:tr w14:paraId="0A88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992" w:type="dxa"/>
            <w:vMerge w:val="continue"/>
            <w:vAlign w:val="center"/>
          </w:tcPr>
          <w:p w14:paraId="53E5FB0A">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38DC809B">
            <w:pPr>
              <w:adjustRightInd w:val="0"/>
              <w:snapToGrid w:val="0"/>
              <w:jc w:val="left"/>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lang w:val="en-US" w:eastAsia="zh-CN"/>
              </w:rPr>
              <w:t>21</w:t>
            </w:r>
            <w:r>
              <w:rPr>
                <w:rFonts w:hint="eastAsia" w:ascii="宋体" w:hAnsi="宋体" w:cs="宋体"/>
                <w:snapToGrid w:val="0"/>
                <w:color w:val="auto"/>
                <w:spacing w:val="2"/>
                <w:kern w:val="0"/>
                <w:sz w:val="18"/>
                <w:szCs w:val="18"/>
              </w:rPr>
              <w:t>.产品销售（服务）覆盖全省</w:t>
            </w:r>
            <w:r>
              <w:rPr>
                <w:rFonts w:hint="eastAsia" w:ascii="宋体" w:hAnsi="宋体" w:cs="宋体"/>
                <w:snapToGrid w:val="0"/>
                <w:color w:val="auto"/>
                <w:spacing w:val="2"/>
                <w:kern w:val="0"/>
                <w:sz w:val="18"/>
                <w:szCs w:val="18"/>
                <w:lang w:val="en-US" w:eastAsia="zh-CN"/>
              </w:rPr>
              <w:t>不少于10个地级市</w:t>
            </w:r>
            <w:r>
              <w:rPr>
                <w:rFonts w:hint="eastAsia" w:ascii="宋体" w:hAnsi="宋体" w:cs="宋体"/>
                <w:snapToGrid w:val="0"/>
                <w:color w:val="auto"/>
                <w:spacing w:val="2"/>
                <w:kern w:val="0"/>
                <w:sz w:val="18"/>
                <w:szCs w:val="18"/>
              </w:rPr>
              <w:t>或辐射不少于</w:t>
            </w:r>
            <w:r>
              <w:rPr>
                <w:rFonts w:hint="eastAsia" w:ascii="宋体" w:hAnsi="宋体" w:cs="宋体"/>
                <w:snapToGrid w:val="0"/>
                <w:color w:val="auto"/>
                <w:spacing w:val="2"/>
                <w:kern w:val="0"/>
                <w:sz w:val="18"/>
                <w:szCs w:val="18"/>
                <w:lang w:val="en-US" w:eastAsia="zh-CN"/>
              </w:rPr>
              <w:t>3</w:t>
            </w:r>
            <w:r>
              <w:rPr>
                <w:rFonts w:hint="eastAsia" w:ascii="宋体" w:hAnsi="宋体" w:cs="宋体"/>
                <w:snapToGrid w:val="0"/>
                <w:color w:val="auto"/>
                <w:spacing w:val="2"/>
                <w:kern w:val="0"/>
                <w:sz w:val="18"/>
                <w:szCs w:val="18"/>
              </w:rPr>
              <w:t>个其他的省、自治区、直辖市</w:t>
            </w:r>
          </w:p>
        </w:tc>
        <w:tc>
          <w:tcPr>
            <w:tcW w:w="721" w:type="dxa"/>
            <w:vAlign w:val="center"/>
          </w:tcPr>
          <w:p w14:paraId="7E3E8934">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5</w:t>
            </w:r>
            <w:r>
              <w:rPr>
                <w:rFonts w:ascii="宋体" w:hAnsi="宋体"/>
                <w:color w:val="auto"/>
                <w:sz w:val="18"/>
                <w:szCs w:val="18"/>
              </w:rPr>
              <w:t>0</w:t>
            </w:r>
            <w:r>
              <w:rPr>
                <w:rFonts w:hint="eastAsia" w:ascii="宋体" w:hAnsi="宋体"/>
                <w:color w:val="auto"/>
                <w:sz w:val="18"/>
                <w:szCs w:val="18"/>
              </w:rPr>
              <w:t>分</w:t>
            </w:r>
          </w:p>
        </w:tc>
        <w:tc>
          <w:tcPr>
            <w:tcW w:w="494" w:type="dxa"/>
            <w:vMerge w:val="continue"/>
            <w:vAlign w:val="center"/>
          </w:tcPr>
          <w:p w14:paraId="40229A5C">
            <w:pPr>
              <w:adjustRightInd w:val="0"/>
              <w:snapToGrid w:val="0"/>
              <w:jc w:val="center"/>
              <w:rPr>
                <w:rFonts w:ascii="宋体" w:hAnsi="宋体" w:cs="宋体"/>
                <w:snapToGrid w:val="0"/>
                <w:color w:val="auto"/>
                <w:spacing w:val="2"/>
                <w:kern w:val="0"/>
                <w:sz w:val="18"/>
                <w:szCs w:val="18"/>
              </w:rPr>
            </w:pPr>
          </w:p>
        </w:tc>
      </w:tr>
      <w:tr w14:paraId="5ED9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992" w:type="dxa"/>
            <w:vMerge w:val="continue"/>
            <w:vAlign w:val="center"/>
          </w:tcPr>
          <w:p w14:paraId="32F012BD">
            <w:pPr>
              <w:adjustRightInd w:val="0"/>
              <w:snapToGrid w:val="0"/>
              <w:jc w:val="center"/>
              <w:rPr>
                <w:rFonts w:ascii="宋体" w:hAnsi="宋体" w:cs="宋体"/>
                <w:snapToGrid w:val="0"/>
                <w:color w:val="auto"/>
                <w:spacing w:val="2"/>
                <w:kern w:val="0"/>
                <w:sz w:val="18"/>
                <w:szCs w:val="18"/>
              </w:rPr>
            </w:pPr>
          </w:p>
        </w:tc>
        <w:tc>
          <w:tcPr>
            <w:tcW w:w="7363" w:type="dxa"/>
            <w:vAlign w:val="center"/>
          </w:tcPr>
          <w:p w14:paraId="3F0BB7D9">
            <w:pPr>
              <w:adjustRightInd w:val="0"/>
              <w:snapToGrid w:val="0"/>
              <w:jc w:val="left"/>
              <w:rPr>
                <w:rFonts w:ascii="宋体" w:hAnsi="宋体"/>
                <w:color w:val="auto"/>
                <w:sz w:val="18"/>
                <w:szCs w:val="18"/>
              </w:rPr>
            </w:pPr>
            <w:r>
              <w:rPr>
                <w:rFonts w:hint="eastAsia" w:ascii="宋体" w:hAnsi="宋体" w:cs="宋体"/>
                <w:snapToGrid w:val="0"/>
                <w:color w:val="auto"/>
                <w:spacing w:val="2"/>
                <w:kern w:val="0"/>
                <w:sz w:val="18"/>
                <w:szCs w:val="18"/>
                <w:lang w:val="en-US" w:eastAsia="zh-CN"/>
              </w:rPr>
              <w:t>22</w:t>
            </w:r>
            <w:r>
              <w:rPr>
                <w:rFonts w:ascii="宋体" w:hAnsi="宋体" w:cs="宋体"/>
                <w:snapToGrid w:val="0"/>
                <w:color w:val="auto"/>
                <w:spacing w:val="2"/>
                <w:kern w:val="0"/>
                <w:sz w:val="18"/>
                <w:szCs w:val="18"/>
              </w:rPr>
              <w:t>.</w:t>
            </w:r>
            <w:r>
              <w:rPr>
                <w:rFonts w:hint="eastAsia" w:ascii="宋体" w:hAnsi="宋体" w:cs="宋体"/>
                <w:snapToGrid w:val="0"/>
                <w:color w:val="auto"/>
                <w:spacing w:val="2"/>
                <w:kern w:val="0"/>
                <w:sz w:val="18"/>
                <w:szCs w:val="18"/>
              </w:rPr>
              <w:t>产品销售（服务）覆盖全省</w:t>
            </w:r>
            <w:r>
              <w:rPr>
                <w:rFonts w:hint="eastAsia" w:ascii="宋体" w:hAnsi="宋体" w:cs="宋体"/>
                <w:snapToGrid w:val="0"/>
                <w:color w:val="auto"/>
                <w:spacing w:val="2"/>
                <w:kern w:val="0"/>
                <w:sz w:val="18"/>
                <w:szCs w:val="18"/>
                <w:lang w:val="en-US" w:eastAsia="zh-CN"/>
              </w:rPr>
              <w:t>不少于8个地级市</w:t>
            </w:r>
            <w:r>
              <w:rPr>
                <w:rFonts w:hint="eastAsia" w:ascii="宋体" w:hAnsi="宋体" w:cs="宋体"/>
                <w:snapToGrid w:val="0"/>
                <w:color w:val="auto"/>
                <w:spacing w:val="2"/>
                <w:kern w:val="0"/>
                <w:sz w:val="18"/>
                <w:szCs w:val="18"/>
              </w:rPr>
              <w:t>或辐射不少于</w:t>
            </w:r>
            <w:r>
              <w:rPr>
                <w:rFonts w:hint="eastAsia" w:ascii="宋体" w:hAnsi="宋体" w:cs="宋体"/>
                <w:snapToGrid w:val="0"/>
                <w:color w:val="auto"/>
                <w:spacing w:val="2"/>
                <w:kern w:val="0"/>
                <w:sz w:val="18"/>
                <w:szCs w:val="18"/>
                <w:lang w:val="en-US" w:eastAsia="zh-CN"/>
              </w:rPr>
              <w:t>1</w:t>
            </w:r>
            <w:r>
              <w:rPr>
                <w:rFonts w:hint="eastAsia" w:ascii="宋体" w:hAnsi="宋体" w:cs="宋体"/>
                <w:snapToGrid w:val="0"/>
                <w:color w:val="auto"/>
                <w:spacing w:val="2"/>
                <w:kern w:val="0"/>
                <w:sz w:val="18"/>
                <w:szCs w:val="18"/>
              </w:rPr>
              <w:t>个其他的省、自治区、直辖市</w:t>
            </w:r>
          </w:p>
        </w:tc>
        <w:tc>
          <w:tcPr>
            <w:tcW w:w="721" w:type="dxa"/>
            <w:vAlign w:val="center"/>
          </w:tcPr>
          <w:p w14:paraId="3F98DBD8">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2</w:t>
            </w:r>
            <w:r>
              <w:rPr>
                <w:rFonts w:ascii="宋体" w:hAnsi="宋体"/>
                <w:color w:val="auto"/>
                <w:sz w:val="18"/>
                <w:szCs w:val="18"/>
              </w:rPr>
              <w:t>0</w:t>
            </w:r>
            <w:r>
              <w:rPr>
                <w:rFonts w:hint="eastAsia" w:ascii="宋体" w:hAnsi="宋体"/>
                <w:color w:val="auto"/>
                <w:sz w:val="18"/>
                <w:szCs w:val="18"/>
              </w:rPr>
              <w:t>分</w:t>
            </w:r>
          </w:p>
        </w:tc>
        <w:tc>
          <w:tcPr>
            <w:tcW w:w="494" w:type="dxa"/>
            <w:vMerge w:val="continue"/>
            <w:vAlign w:val="center"/>
          </w:tcPr>
          <w:p w14:paraId="6636C967">
            <w:pPr>
              <w:adjustRightInd w:val="0"/>
              <w:snapToGrid w:val="0"/>
              <w:jc w:val="center"/>
              <w:rPr>
                <w:rFonts w:ascii="宋体" w:hAnsi="宋体" w:cs="宋体"/>
                <w:snapToGrid w:val="0"/>
                <w:color w:val="auto"/>
                <w:spacing w:val="2"/>
                <w:kern w:val="0"/>
                <w:sz w:val="18"/>
                <w:szCs w:val="18"/>
              </w:rPr>
            </w:pPr>
          </w:p>
        </w:tc>
      </w:tr>
      <w:tr w14:paraId="5CD3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570" w:type="dxa"/>
            <w:gridSpan w:val="4"/>
            <w:tcBorders>
              <w:bottom w:val="single" w:color="auto" w:sz="4" w:space="0"/>
            </w:tcBorders>
            <w:vAlign w:val="center"/>
          </w:tcPr>
          <w:p w14:paraId="52CA8647">
            <w:pPr>
              <w:adjustRightInd w:val="0"/>
              <w:snapToGrid w:val="0"/>
              <w:ind w:firstLine="360" w:firstLineChars="200"/>
              <w:jc w:val="left"/>
              <w:rPr>
                <w:rFonts w:ascii="宋体" w:hAnsi="宋体" w:cs="宋体"/>
                <w:snapToGrid w:val="0"/>
                <w:color w:val="auto"/>
                <w:spacing w:val="2"/>
                <w:kern w:val="0"/>
                <w:sz w:val="18"/>
                <w:szCs w:val="18"/>
              </w:rPr>
            </w:pPr>
            <w:r>
              <w:rPr>
                <w:rFonts w:hint="eastAsia" w:ascii="黑体" w:hAnsi="黑体" w:eastAsia="黑体" w:cs="黑体"/>
                <w:color w:val="auto"/>
                <w:sz w:val="18"/>
                <w:szCs w:val="18"/>
              </w:rPr>
              <w:t>注</w:t>
            </w:r>
            <w:r>
              <w:rPr>
                <w:rFonts w:hint="eastAsia" w:ascii="黑体" w:hAnsi="黑体" w:eastAsia="黑体" w:cs="黑体"/>
                <w:color w:val="auto"/>
                <w:sz w:val="18"/>
                <w:szCs w:val="18"/>
                <w:lang w:val="en-US" w:eastAsia="zh-CN"/>
              </w:rPr>
              <w:t>5</w:t>
            </w:r>
            <w:r>
              <w:rPr>
                <w:rFonts w:hint="eastAsia" w:ascii="黑体" w:hAnsi="黑体" w:eastAsia="黑体" w:cs="黑体"/>
                <w:color w:val="auto"/>
                <w:sz w:val="18"/>
                <w:szCs w:val="18"/>
              </w:rPr>
              <w:t xml:space="preserve">： </w:t>
            </w:r>
            <w:r>
              <w:rPr>
                <w:rFonts w:hint="eastAsia" w:ascii="宋体" w:hAnsi="宋体" w:cs="宋体"/>
                <w:snapToGrid w:val="0"/>
                <w:color w:val="auto"/>
                <w:spacing w:val="2"/>
                <w:kern w:val="0"/>
                <w:sz w:val="18"/>
                <w:szCs w:val="18"/>
              </w:rPr>
              <w:t>基础项项目号</w:t>
            </w:r>
            <w:r>
              <w:rPr>
                <w:rFonts w:hint="eastAsia" w:ascii="宋体" w:hAnsi="宋体" w:cs="宋体"/>
                <w:snapToGrid w:val="0"/>
                <w:color w:val="auto"/>
                <w:spacing w:val="2"/>
                <w:kern w:val="0"/>
                <w:sz w:val="18"/>
                <w:szCs w:val="18"/>
                <w:lang w:val="en-US" w:eastAsia="zh-CN"/>
              </w:rPr>
              <w:t>4</w:t>
            </w:r>
            <w:r>
              <w:rPr>
                <w:rFonts w:hint="eastAsia" w:ascii="宋体" w:hAnsi="宋体" w:cs="宋体"/>
                <w:snapToGrid w:val="0"/>
                <w:color w:val="auto"/>
                <w:spacing w:val="2"/>
                <w:kern w:val="0"/>
                <w:sz w:val="18"/>
                <w:szCs w:val="18"/>
              </w:rPr>
              <w:t>承诺书经市场监管部门或第三方信用机构核验，若发现虚假承诺则永久</w:t>
            </w:r>
          </w:p>
          <w:p w14:paraId="7CD79B06">
            <w:pPr>
              <w:adjustRightInd w:val="0"/>
              <w:snapToGrid w:val="0"/>
              <w:ind w:firstLine="368" w:firstLineChars="200"/>
              <w:jc w:val="left"/>
              <w:rPr>
                <w:rFonts w:ascii="宋体" w:hAnsi="宋体" w:cs="宋体"/>
                <w:snapToGrid w:val="0"/>
                <w:color w:val="auto"/>
                <w:spacing w:val="2"/>
                <w:kern w:val="0"/>
                <w:sz w:val="18"/>
                <w:szCs w:val="18"/>
              </w:rPr>
            </w:pPr>
            <w:r>
              <w:rPr>
                <w:rFonts w:hint="eastAsia" w:ascii="宋体" w:hAnsi="宋体" w:cs="宋体"/>
                <w:snapToGrid w:val="0"/>
                <w:color w:val="auto"/>
                <w:spacing w:val="2"/>
                <w:kern w:val="0"/>
                <w:sz w:val="18"/>
                <w:szCs w:val="18"/>
              </w:rPr>
              <w:t>取消申报资格。</w:t>
            </w:r>
          </w:p>
          <w:p w14:paraId="72ECCC53">
            <w:pPr>
              <w:adjustRightInd w:val="0"/>
              <w:snapToGrid w:val="0"/>
              <w:ind w:firstLine="360" w:firstLineChars="200"/>
              <w:jc w:val="left"/>
              <w:rPr>
                <w:rFonts w:ascii="黑体" w:hAnsi="黑体" w:eastAsia="黑体" w:cs="黑体"/>
                <w:color w:val="auto"/>
                <w:sz w:val="18"/>
                <w:szCs w:val="18"/>
              </w:rPr>
            </w:pPr>
            <w:r>
              <w:rPr>
                <w:rFonts w:hint="eastAsia" w:ascii="黑体" w:hAnsi="黑体" w:eastAsia="黑体" w:cs="黑体"/>
                <w:color w:val="auto"/>
                <w:sz w:val="18"/>
                <w:szCs w:val="18"/>
              </w:rPr>
              <w:t>注</w:t>
            </w:r>
            <w:r>
              <w:rPr>
                <w:rFonts w:hint="eastAsia" w:ascii="黑体" w:hAnsi="黑体" w:eastAsia="黑体" w:cs="黑体"/>
                <w:color w:val="auto"/>
                <w:sz w:val="18"/>
                <w:szCs w:val="18"/>
                <w:lang w:val="en-US" w:eastAsia="zh-CN"/>
              </w:rPr>
              <w:t>6</w:t>
            </w:r>
            <w:r>
              <w:rPr>
                <w:rFonts w:hint="eastAsia" w:ascii="黑体" w:hAnsi="黑体" w:eastAsia="黑体" w:cs="黑体"/>
                <w:color w:val="auto"/>
                <w:sz w:val="18"/>
                <w:szCs w:val="18"/>
              </w:rPr>
              <w:t xml:space="preserve">： </w:t>
            </w:r>
            <w:r>
              <w:rPr>
                <w:rFonts w:hint="eastAsia" w:ascii="宋体" w:hAnsi="宋体" w:cs="宋体"/>
                <w:color w:val="auto"/>
                <w:sz w:val="18"/>
                <w:szCs w:val="18"/>
              </w:rPr>
              <w:t>加分项1—</w:t>
            </w:r>
            <w:r>
              <w:rPr>
                <w:rFonts w:hint="eastAsia" w:ascii="宋体" w:hAnsi="宋体" w:cs="宋体"/>
                <w:color w:val="auto"/>
                <w:sz w:val="18"/>
                <w:szCs w:val="18"/>
                <w:lang w:val="en-US" w:eastAsia="zh-CN"/>
              </w:rPr>
              <w:t>5</w:t>
            </w:r>
            <w:r>
              <w:rPr>
                <w:rFonts w:hint="eastAsia" w:ascii="宋体" w:hAnsi="宋体" w:cs="宋体"/>
                <w:color w:val="auto"/>
                <w:sz w:val="18"/>
                <w:szCs w:val="18"/>
              </w:rPr>
              <w:t>不累计计分，只取其中一个最高分。</w:t>
            </w:r>
          </w:p>
          <w:p w14:paraId="0167908E">
            <w:pPr>
              <w:adjustRightInd w:val="0"/>
              <w:snapToGrid w:val="0"/>
              <w:ind w:firstLine="360" w:firstLineChars="200"/>
              <w:jc w:val="left"/>
              <w:rPr>
                <w:rFonts w:ascii="宋体" w:hAnsi="宋体" w:cs="宋体"/>
                <w:color w:val="auto"/>
                <w:sz w:val="18"/>
                <w:szCs w:val="18"/>
              </w:rPr>
            </w:pPr>
            <w:r>
              <w:rPr>
                <w:rFonts w:hint="eastAsia" w:ascii="黑体" w:hAnsi="黑体" w:eastAsia="黑体" w:cs="黑体"/>
                <w:color w:val="auto"/>
                <w:sz w:val="18"/>
                <w:szCs w:val="18"/>
              </w:rPr>
              <w:t>注</w:t>
            </w:r>
            <w:r>
              <w:rPr>
                <w:rFonts w:hint="eastAsia" w:ascii="黑体" w:hAnsi="黑体" w:eastAsia="黑体" w:cs="黑体"/>
                <w:color w:val="auto"/>
                <w:sz w:val="18"/>
                <w:szCs w:val="18"/>
                <w:lang w:val="en-US" w:eastAsia="zh-CN"/>
              </w:rPr>
              <w:t>7</w:t>
            </w:r>
            <w:r>
              <w:rPr>
                <w:rFonts w:hint="eastAsia" w:ascii="黑体" w:hAnsi="黑体" w:eastAsia="黑体" w:cs="黑体"/>
                <w:color w:val="auto"/>
                <w:sz w:val="18"/>
                <w:szCs w:val="18"/>
              </w:rPr>
              <w:t xml:space="preserve">： </w:t>
            </w:r>
            <w:r>
              <w:rPr>
                <w:rFonts w:hint="eastAsia" w:ascii="宋体" w:hAnsi="宋体" w:cs="宋体"/>
                <w:color w:val="auto"/>
                <w:sz w:val="18"/>
                <w:szCs w:val="18"/>
              </w:rPr>
              <w:t>加分项</w:t>
            </w:r>
            <w:r>
              <w:rPr>
                <w:rFonts w:ascii="宋体" w:hAnsi="宋体" w:cs="宋体"/>
                <w:color w:val="auto"/>
                <w:sz w:val="18"/>
                <w:szCs w:val="18"/>
              </w:rPr>
              <w:t>7</w:t>
            </w:r>
            <w:r>
              <w:rPr>
                <w:rFonts w:hint="eastAsia" w:ascii="宋体" w:hAnsi="宋体" w:cs="宋体"/>
                <w:color w:val="auto"/>
                <w:sz w:val="18"/>
                <w:szCs w:val="18"/>
              </w:rPr>
              <w:t>项目号1</w:t>
            </w:r>
            <w:r>
              <w:rPr>
                <w:rFonts w:hint="eastAsia" w:ascii="宋体" w:hAnsi="宋体" w:cs="宋体"/>
                <w:color w:val="auto"/>
                <w:sz w:val="18"/>
                <w:szCs w:val="18"/>
                <w:lang w:val="en-US" w:eastAsia="zh-CN"/>
              </w:rPr>
              <w:t>2</w:t>
            </w:r>
            <w:r>
              <w:rPr>
                <w:rFonts w:hint="eastAsia" w:ascii="宋体" w:hAnsi="宋体" w:cs="宋体"/>
                <w:color w:val="auto"/>
                <w:sz w:val="18"/>
                <w:szCs w:val="18"/>
              </w:rPr>
              <w:t>-1</w:t>
            </w:r>
            <w:r>
              <w:rPr>
                <w:rFonts w:hint="eastAsia" w:ascii="宋体" w:hAnsi="宋体" w:cs="宋体"/>
                <w:color w:val="auto"/>
                <w:sz w:val="18"/>
                <w:szCs w:val="18"/>
                <w:lang w:val="en-US" w:eastAsia="zh-CN"/>
              </w:rPr>
              <w:t>3</w:t>
            </w:r>
            <w:r>
              <w:rPr>
                <w:rFonts w:hint="eastAsia" w:ascii="宋体" w:hAnsi="宋体" w:cs="宋体"/>
                <w:color w:val="auto"/>
                <w:sz w:val="18"/>
                <w:szCs w:val="18"/>
              </w:rPr>
              <w:t>不累计计分，只取其中一个最高分。</w:t>
            </w:r>
          </w:p>
          <w:p w14:paraId="01508085">
            <w:pPr>
              <w:adjustRightInd w:val="0"/>
              <w:snapToGrid w:val="0"/>
              <w:ind w:firstLine="360" w:firstLineChars="200"/>
              <w:jc w:val="left"/>
              <w:rPr>
                <w:rFonts w:ascii="黑体" w:hAnsi="黑体" w:eastAsia="黑体" w:cs="黑体"/>
                <w:color w:val="auto"/>
                <w:sz w:val="18"/>
                <w:szCs w:val="18"/>
              </w:rPr>
            </w:pPr>
            <w:r>
              <w:rPr>
                <w:rFonts w:hint="eastAsia" w:ascii="黑体" w:hAnsi="黑体" w:eastAsia="黑体" w:cs="黑体"/>
                <w:color w:val="auto"/>
                <w:sz w:val="18"/>
                <w:szCs w:val="18"/>
              </w:rPr>
              <w:t>注</w:t>
            </w:r>
            <w:r>
              <w:rPr>
                <w:rFonts w:hint="eastAsia" w:ascii="黑体" w:hAnsi="黑体" w:eastAsia="黑体" w:cs="黑体"/>
                <w:color w:val="auto"/>
                <w:sz w:val="18"/>
                <w:szCs w:val="18"/>
                <w:lang w:val="en-US" w:eastAsia="zh-CN"/>
              </w:rPr>
              <w:t>8</w:t>
            </w:r>
            <w:r>
              <w:rPr>
                <w:rFonts w:hint="eastAsia" w:ascii="黑体" w:hAnsi="黑体" w:eastAsia="黑体" w:cs="黑体"/>
                <w:color w:val="auto"/>
                <w:sz w:val="18"/>
                <w:szCs w:val="18"/>
              </w:rPr>
              <w:t xml:space="preserve">： </w:t>
            </w:r>
            <w:r>
              <w:rPr>
                <w:rFonts w:hint="eastAsia" w:ascii="宋体" w:hAnsi="宋体" w:cs="宋体"/>
                <w:color w:val="auto"/>
                <w:sz w:val="18"/>
                <w:szCs w:val="18"/>
              </w:rPr>
              <w:t>加分项</w:t>
            </w:r>
            <w:r>
              <w:rPr>
                <w:rFonts w:ascii="宋体" w:hAnsi="宋体" w:cs="宋体"/>
                <w:color w:val="auto"/>
                <w:sz w:val="18"/>
                <w:szCs w:val="18"/>
              </w:rPr>
              <w:t>8</w:t>
            </w:r>
            <w:r>
              <w:rPr>
                <w:rFonts w:hint="eastAsia" w:ascii="宋体" w:hAnsi="宋体" w:cs="宋体"/>
                <w:color w:val="auto"/>
                <w:sz w:val="18"/>
                <w:szCs w:val="18"/>
              </w:rPr>
              <w:t>项目号</w:t>
            </w:r>
            <w:r>
              <w:rPr>
                <w:rFonts w:ascii="宋体" w:hAnsi="宋体" w:cs="宋体"/>
                <w:color w:val="auto"/>
                <w:sz w:val="18"/>
                <w:szCs w:val="18"/>
              </w:rPr>
              <w:t>1</w:t>
            </w:r>
            <w:r>
              <w:rPr>
                <w:rFonts w:hint="eastAsia" w:ascii="宋体" w:hAnsi="宋体" w:cs="宋体"/>
                <w:color w:val="auto"/>
                <w:sz w:val="18"/>
                <w:szCs w:val="18"/>
                <w:lang w:val="en-US" w:eastAsia="zh-CN"/>
              </w:rPr>
              <w:t>4</w:t>
            </w:r>
            <w:r>
              <w:rPr>
                <w:rFonts w:hint="eastAsia" w:ascii="宋体" w:hAnsi="宋体" w:cs="宋体"/>
                <w:color w:val="auto"/>
                <w:sz w:val="18"/>
                <w:szCs w:val="18"/>
              </w:rPr>
              <w:t>-1</w:t>
            </w:r>
            <w:r>
              <w:rPr>
                <w:rFonts w:hint="eastAsia" w:ascii="宋体" w:hAnsi="宋体" w:cs="宋体"/>
                <w:color w:val="auto"/>
                <w:sz w:val="18"/>
                <w:szCs w:val="18"/>
                <w:lang w:val="en-US" w:eastAsia="zh-CN"/>
              </w:rPr>
              <w:t>6</w:t>
            </w:r>
            <w:r>
              <w:rPr>
                <w:rFonts w:hint="eastAsia" w:ascii="宋体" w:hAnsi="宋体" w:cs="宋体"/>
                <w:color w:val="auto"/>
                <w:sz w:val="18"/>
                <w:szCs w:val="18"/>
              </w:rPr>
              <w:t>不累计计分，只取其中一个最高分。</w:t>
            </w:r>
            <w:r>
              <w:rPr>
                <w:rFonts w:hint="eastAsia" w:ascii="黑体" w:hAnsi="黑体" w:eastAsia="黑体" w:cs="黑体"/>
                <w:color w:val="auto"/>
                <w:sz w:val="18"/>
                <w:szCs w:val="18"/>
              </w:rPr>
              <w:t xml:space="preserve"> </w:t>
            </w:r>
          </w:p>
          <w:p w14:paraId="0F13A9AB">
            <w:pPr>
              <w:adjustRightInd w:val="0"/>
              <w:snapToGrid w:val="0"/>
              <w:ind w:firstLine="360" w:firstLineChars="200"/>
              <w:jc w:val="left"/>
              <w:rPr>
                <w:rFonts w:hint="eastAsia" w:ascii="宋体" w:hAnsi="宋体" w:cs="宋体"/>
                <w:color w:val="auto"/>
                <w:sz w:val="18"/>
                <w:szCs w:val="18"/>
              </w:rPr>
            </w:pPr>
            <w:r>
              <w:rPr>
                <w:rFonts w:hint="eastAsia" w:ascii="黑体" w:hAnsi="黑体" w:eastAsia="黑体" w:cs="黑体"/>
                <w:color w:val="auto"/>
                <w:sz w:val="18"/>
                <w:szCs w:val="18"/>
              </w:rPr>
              <w:t>注</w:t>
            </w:r>
            <w:r>
              <w:rPr>
                <w:rFonts w:hint="eastAsia" w:ascii="黑体" w:hAnsi="黑体" w:eastAsia="黑体" w:cs="黑体"/>
                <w:color w:val="auto"/>
                <w:sz w:val="18"/>
                <w:szCs w:val="18"/>
                <w:lang w:val="en-US" w:eastAsia="zh-CN"/>
              </w:rPr>
              <w:t>9</w:t>
            </w:r>
            <w:r>
              <w:rPr>
                <w:rFonts w:hint="eastAsia" w:ascii="黑体" w:hAnsi="黑体" w:eastAsia="黑体" w:cs="黑体"/>
                <w:color w:val="auto"/>
                <w:sz w:val="18"/>
                <w:szCs w:val="18"/>
              </w:rPr>
              <w:t xml:space="preserve">： </w:t>
            </w:r>
            <w:r>
              <w:rPr>
                <w:rFonts w:hint="eastAsia" w:ascii="宋体" w:hAnsi="宋体" w:cs="宋体"/>
                <w:color w:val="auto"/>
                <w:sz w:val="18"/>
                <w:szCs w:val="18"/>
              </w:rPr>
              <w:t>加分项9项目号</w:t>
            </w:r>
            <w:r>
              <w:rPr>
                <w:rFonts w:hint="eastAsia" w:ascii="宋体" w:hAnsi="宋体" w:cs="宋体"/>
                <w:color w:val="auto"/>
                <w:sz w:val="18"/>
                <w:szCs w:val="18"/>
                <w:lang w:val="en-US" w:eastAsia="zh-CN"/>
              </w:rPr>
              <w:t>17</w:t>
            </w:r>
            <w:r>
              <w:rPr>
                <w:rFonts w:hint="eastAsia" w:ascii="宋体" w:hAnsi="宋体" w:cs="宋体"/>
                <w:color w:val="auto"/>
                <w:sz w:val="18"/>
                <w:szCs w:val="18"/>
              </w:rPr>
              <w:t>-</w:t>
            </w:r>
            <w:r>
              <w:rPr>
                <w:rFonts w:hint="eastAsia" w:ascii="宋体" w:hAnsi="宋体" w:cs="宋体"/>
                <w:color w:val="auto"/>
                <w:sz w:val="18"/>
                <w:szCs w:val="18"/>
                <w:lang w:val="en-US" w:eastAsia="zh-CN"/>
              </w:rPr>
              <w:t>19</w:t>
            </w:r>
            <w:r>
              <w:rPr>
                <w:rFonts w:hint="eastAsia" w:ascii="宋体" w:hAnsi="宋体" w:cs="宋体"/>
                <w:color w:val="auto"/>
                <w:sz w:val="18"/>
                <w:szCs w:val="18"/>
              </w:rPr>
              <w:t>不累计计分，只取其中一个最高分。</w:t>
            </w:r>
          </w:p>
          <w:p w14:paraId="43025334">
            <w:pPr>
              <w:adjustRightInd w:val="0"/>
              <w:snapToGrid w:val="0"/>
              <w:ind w:firstLine="360" w:firstLineChars="200"/>
              <w:jc w:val="left"/>
              <w:rPr>
                <w:rFonts w:ascii="宋体" w:hAnsi="宋体" w:cs="宋体"/>
                <w:color w:val="auto"/>
                <w:sz w:val="18"/>
                <w:szCs w:val="18"/>
              </w:rPr>
            </w:pPr>
            <w:r>
              <w:rPr>
                <w:rFonts w:hint="eastAsia" w:ascii="黑体" w:hAnsi="黑体" w:eastAsia="黑体" w:cs="黑体"/>
                <w:color w:val="auto"/>
                <w:sz w:val="18"/>
                <w:szCs w:val="18"/>
              </w:rPr>
              <w:t>注</w:t>
            </w:r>
            <w:r>
              <w:rPr>
                <w:rFonts w:hint="eastAsia" w:ascii="黑体" w:hAnsi="黑体" w:eastAsia="黑体" w:cs="黑体"/>
                <w:color w:val="auto"/>
                <w:sz w:val="18"/>
                <w:szCs w:val="18"/>
                <w:lang w:val="en-US" w:eastAsia="zh-CN"/>
              </w:rPr>
              <w:t>10</w:t>
            </w:r>
            <w:r>
              <w:rPr>
                <w:rFonts w:hint="eastAsia" w:ascii="黑体" w:hAnsi="黑体" w:eastAsia="黑体" w:cs="黑体"/>
                <w:color w:val="auto"/>
                <w:sz w:val="18"/>
                <w:szCs w:val="18"/>
              </w:rPr>
              <w:t xml:space="preserve">： </w:t>
            </w:r>
            <w:r>
              <w:rPr>
                <w:rFonts w:hint="eastAsia" w:ascii="宋体" w:hAnsi="宋体" w:cs="宋体"/>
                <w:color w:val="auto"/>
                <w:sz w:val="18"/>
                <w:szCs w:val="18"/>
              </w:rPr>
              <w:t>加分项</w:t>
            </w:r>
            <w:r>
              <w:rPr>
                <w:rFonts w:hint="eastAsia" w:ascii="宋体" w:hAnsi="宋体" w:cs="宋体"/>
                <w:color w:val="auto"/>
                <w:sz w:val="18"/>
                <w:szCs w:val="18"/>
                <w:lang w:val="en-US" w:eastAsia="zh-CN"/>
              </w:rPr>
              <w:t>10</w:t>
            </w:r>
            <w:r>
              <w:rPr>
                <w:rFonts w:hint="eastAsia" w:ascii="宋体" w:hAnsi="宋体" w:cs="宋体"/>
                <w:color w:val="auto"/>
                <w:sz w:val="18"/>
                <w:szCs w:val="18"/>
              </w:rPr>
              <w:t>项目号</w:t>
            </w:r>
            <w:r>
              <w:rPr>
                <w:rFonts w:hint="eastAsia" w:ascii="宋体" w:hAnsi="宋体" w:cs="宋体"/>
                <w:color w:val="auto"/>
                <w:sz w:val="18"/>
                <w:szCs w:val="18"/>
                <w:lang w:val="en-US" w:eastAsia="zh-CN"/>
              </w:rPr>
              <w:t>20</w:t>
            </w:r>
            <w:r>
              <w:rPr>
                <w:rFonts w:hint="eastAsia" w:ascii="宋体" w:hAnsi="宋体" w:cs="宋体"/>
                <w:color w:val="auto"/>
                <w:sz w:val="18"/>
                <w:szCs w:val="18"/>
              </w:rPr>
              <w:t>-</w:t>
            </w:r>
            <w:r>
              <w:rPr>
                <w:rFonts w:hint="eastAsia" w:ascii="宋体" w:hAnsi="宋体" w:cs="宋体"/>
                <w:color w:val="auto"/>
                <w:sz w:val="18"/>
                <w:szCs w:val="18"/>
                <w:lang w:val="en-US" w:eastAsia="zh-CN"/>
              </w:rPr>
              <w:t>22</w:t>
            </w:r>
            <w:r>
              <w:rPr>
                <w:rFonts w:hint="eastAsia" w:ascii="宋体" w:hAnsi="宋体" w:cs="宋体"/>
                <w:color w:val="auto"/>
                <w:sz w:val="18"/>
                <w:szCs w:val="18"/>
              </w:rPr>
              <w:t>不累计计分，只取其中一个最高分。</w:t>
            </w:r>
          </w:p>
        </w:tc>
      </w:tr>
    </w:tbl>
    <w:p w14:paraId="11F27B3F">
      <w:pPr>
        <w:pStyle w:val="26"/>
        <w:ind w:firstLine="0" w:firstLineChars="0"/>
        <w:rPr>
          <w:rFonts w:hint="eastAsia"/>
          <w:color w:val="auto"/>
          <w:highlight w:val="none"/>
        </w:rPr>
      </w:pPr>
    </w:p>
    <w:p w14:paraId="7EEA5DAA">
      <w:pPr>
        <w:pStyle w:val="118"/>
        <w:framePr w:w="3016" w:vAnchor="text" w:hAnchor="page" w:x="4485" w:y="261"/>
        <w:jc w:val="center"/>
        <w:rPr>
          <w:color w:val="auto"/>
          <w:highlight w:val="none"/>
        </w:rPr>
      </w:pPr>
      <w:r>
        <w:rPr>
          <w:color w:val="auto"/>
          <w:highlight w:val="none"/>
        </w:rPr>
        <w:t>____________________________</w:t>
      </w:r>
    </w:p>
    <w:p w14:paraId="4737D157">
      <w:pPr>
        <w:widowControl/>
        <w:ind w:firstLine="0"/>
        <w:jc w:val="left"/>
        <w:rPr>
          <w:rFonts w:hint="eastAsia"/>
          <w:color w:val="auto"/>
          <w:lang w:val="en-US" w:eastAsia="zh-CN"/>
        </w:rPr>
      </w:pPr>
    </w:p>
    <w:sectPr>
      <w:headerReference r:id="rId14" w:type="default"/>
      <w:footerReference r:id="rId16" w:type="default"/>
      <w:headerReference r:id="rId15" w:type="even"/>
      <w:footerReference r:id="rId17" w:type="even"/>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帅线体简">
    <w:altName w:val="宋体"/>
    <w:panose1 w:val="00020600040101010101"/>
    <w:charset w:val="86"/>
    <w:family w:val="auto"/>
    <w:pitch w:val="default"/>
    <w:sig w:usb0="00000000" w:usb1="00000000" w:usb2="00000016" w:usb3="00000000" w:csb0="0004009F" w:csb1="DFD70000"/>
  </w:font>
  <w:font w:name="苹方-简">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357F">
    <w:pPr>
      <w:pStyle w:val="2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EAC1">
    <w:pPr>
      <w:pStyle w:val="2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C6A49">
                          <w:pPr>
                            <w:pStyle w:val="20"/>
                            <w:rPr>
                              <w:rFonts w:hint="eastAsia"/>
                            </w:rPr>
                          </w:pPr>
                          <w:r>
                            <w:rPr>
                              <w:rFonts w:hint="eastAsia" w:ascii="宋体" w:hAnsi="宋体" w:cs="宋体"/>
                            </w:rPr>
                            <w:t>Ⅰ</w:t>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PKq8gBAACaAwAADgAAAGRycy9lMm9Eb2MueG1srVPNjtMwEL4j8Q6W&#10;79TZI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4b+ooSxy0O/Pz92/nHr/PPr+Rl&#10;0acPUGPafcDENLz1A25N1i37AZ2Z9qCizV8kRDCO6p4u6sohEZEfrZarVYUhgbH5gjjs+jxESO+k&#10;tyQbDY04vqIqP36ANKbOKbma83famDJC4/5yIGb2sGuP2UrDbpga3/n2hHx6nHxDHS46Jea9Q2Hz&#10;ksxGnI3dbBxC1PuubFGuB+HN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pDyqvIAQAAmgMAAA4AAAAAAAAAAQAgAAAAHgEAAGRycy9lMm9Eb2Mu&#10;eG1sUEsFBgAAAAAGAAYAWQEAAFgFAAAAAA==&#10;">
              <v:fill on="f" focussize="0,0"/>
              <v:stroke on="f"/>
              <v:imagedata o:title=""/>
              <o:lock v:ext="edit" aspectratio="f"/>
              <v:textbox inset="0mm,0mm,0mm,0mm" style="mso-fit-shape-to-text:t;">
                <w:txbxContent>
                  <w:p w14:paraId="288C6A49">
                    <w:pPr>
                      <w:pStyle w:val="20"/>
                      <w:rPr>
                        <w:rFonts w:hint="eastAsia"/>
                      </w:rPr>
                    </w:pPr>
                    <w:r>
                      <w:rPr>
                        <w:rFonts w:hint="eastAsia" w:ascii="宋体" w:hAnsi="宋体" w:cs="宋体"/>
                      </w:rPr>
                      <w:t>Ⅰ</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793F">
    <w:pPr>
      <w:pStyle w:val="2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6E618E">
                          <w:pPr>
                            <w:snapToGrid w:val="0"/>
                            <w:rPr>
                              <w:rFonts w:hint="eastAsia"/>
                              <w:sz w:val="18"/>
                            </w:rPr>
                          </w:pP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iblDTAQAApA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pbvkz69hxrT7j0mxuGjG3Br5nvAy0R7kMGkLxIiGEd1j2d1xRAJT4+qZVWVGOIYmx3EL56e&#10;+wDxTjhDktHQgOPLqrLDZ4hj6pySqll3q7TOI9SW9Ih6WV1f5hfnEKJri0USi7HbZMVhO0zUtq49&#10;IrMed6ChFleeEv3JosRpXWYjzMZ2NvY+qF2X9ym1Av7DPmI7uctUYYSdCuPwMs9p0dJ2PPdz1tPP&#10;t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liblDTAQAApAMAAA4AAAAAAAAAAQAgAAAA&#10;IgEAAGRycy9lMm9Eb2MueG1sUEsFBgAAAAAGAAYAWQEAAGcFAAAAAA==&#10;">
              <v:fill on="f" focussize="0,0"/>
              <v:stroke on="f" weight="1.25pt"/>
              <v:imagedata o:title=""/>
              <o:lock v:ext="edit" aspectratio="f"/>
              <v:textbox inset="0mm,0mm,0mm,0mm" style="mso-fit-shape-to-text:t;">
                <w:txbxContent>
                  <w:p w14:paraId="326E618E">
                    <w:pPr>
                      <w:snapToGrid w:val="0"/>
                      <w:rPr>
                        <w:rFonts w:hint="eastAsia"/>
                        <w:sz w:val="18"/>
                      </w:rPr>
                    </w:pPr>
                  </w:p>
                </w:txbxContent>
              </v:textbox>
            </v:shape>
          </w:pict>
        </mc:Fallback>
      </mc:AlternateContent>
    </w:r>
    <w:r>
      <w:rPr>
        <w:rFonts w:hint="eastAsia" w:ascii="宋体" w:hAnsi="宋体" w:cs="宋体"/>
      </w:rPr>
      <w:t>Ⅱ</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CD7A">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6BBCF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obNTSAQAApA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W1DceyWGRz46cf308/f&#10;p1/fyG3Wp/dQY9qTx8Q4PLgBtybplu4BLxPtQQaTvkiIYBzVPZ7VFUMkPD2qllVVYohjbHYQp7g8&#10;9wHiO+EMSUZDA44vq8oOHyCOqXNKqmbdo9I6j1Bb0iPqXfXmLr84hxBdWyxy6TZZcdgOE4Wta4/I&#10;rMcdaKjFladEv7cocVqX2QizsZ2NvQ9q1+V9Sq2Af7uP2E7uMlUYYafCOLzMc1q0tB1/+znr8nO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hs1NIBAACkAwAADgAAAAAAAAABACAAAAAi&#10;AQAAZHJzL2Uyb0RvYy54bWxQSwUGAAAAAAYABgBZAQAAZgUAAAAA&#10;">
              <v:fill on="f" focussize="0,0"/>
              <v:stroke on="f" weight="1.25pt"/>
              <v:imagedata o:title=""/>
              <o:lock v:ext="edit" aspectratio="f"/>
              <v:textbox inset="0mm,0mm,0mm,0mm" style="mso-fit-shape-to-text:t;">
                <w:txbxContent>
                  <w:p w14:paraId="4E6BBCF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7930E0">
                          <w:pPr>
                            <w:pStyle w:val="20"/>
                            <w:rPr>
                              <w:rFonts w:hint="eastAsia"/>
                            </w:rPr>
                          </w:pPr>
                          <w:r>
                            <w:rPr>
                              <w:rFonts w:hint="eastAsia" w:ascii="宋体" w:hAnsi="宋体" w:cs="宋体"/>
                            </w:rPr>
                            <w:t>Ⅰ</w:t>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AuAS/IAQAAmgMAAA4AAAAAAAAAAQAgAAAAHgEAAGRycy9lMm9Eb2Mu&#10;eG1sUEsFBgAAAAAGAAYAWQEAAFgFAAAAAA==&#10;">
              <v:fill on="f" focussize="0,0"/>
              <v:stroke on="f"/>
              <v:imagedata o:title=""/>
              <o:lock v:ext="edit" aspectratio="f"/>
              <v:textbox inset="0mm,0mm,0mm,0mm" style="mso-fit-shape-to-text:t;">
                <w:txbxContent>
                  <w:p w14:paraId="227930E0">
                    <w:pPr>
                      <w:pStyle w:val="20"/>
                      <w:rPr>
                        <w:rFonts w:hint="eastAsia"/>
                      </w:rPr>
                    </w:pPr>
                    <w:r>
                      <w:rPr>
                        <w:rFonts w:hint="eastAsia" w:ascii="宋体" w:hAnsi="宋体" w:cs="宋体"/>
                      </w:rPr>
                      <w:t>Ⅰ</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CAAE">
    <w:pPr>
      <w:pStyle w:val="126"/>
      <w:jc w:val="left"/>
      <w:rPr>
        <w:rFonts w:hint="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4B88AB">
                          <w:pPr>
                            <w:pStyle w:val="20"/>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&#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gGdlHTAQAApAMAAA4AAAAAAAAAAQAgAAAA&#10;IgEAAGRycy9lMm9Eb2MueG1sUEsFBgAAAAAGAAYAWQEAAGcFAAAAAA==&#10;">
              <v:fill on="f" focussize="0,0"/>
              <v:stroke on="f" weight="1.25pt"/>
              <v:imagedata o:title=""/>
              <o:lock v:ext="edit" aspectratio="f"/>
              <v:textbox inset="0mm,0mm,0mm,0mm" style="mso-fit-shape-to-text:t;">
                <w:txbxContent>
                  <w:p w14:paraId="284B88AB">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6578">
    <w:pPr>
      <w:pStyle w:val="20"/>
      <w:jc w:val="left"/>
      <w:rPr>
        <w:rFonts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9828E0">
                          <w:pPr>
                            <w:pStyle w:val="20"/>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Y3219IBAAClAwAADgAAAAAAAAABACAAAAAi&#10;AQAAZHJzL2Uyb0RvYy54bWxQSwUGAAAAAAYABgBZAQAAZgUAAAAA&#10;">
              <v:fill on="f" focussize="0,0"/>
              <v:stroke on="f" weight="1.25pt"/>
              <v:imagedata o:title=""/>
              <o:lock v:ext="edit" aspectratio="f"/>
              <v:textbox inset="0mm,0mm,0mm,0mm" style="mso-fit-shape-to-text:t;">
                <w:txbxContent>
                  <w:p w14:paraId="419828E0">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0516">
    <w:pPr>
      <w:pStyle w:val="126"/>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ED6ADB">
                          <w:pPr>
                            <w:pStyle w:val="20"/>
                          </w:pPr>
                          <w:r>
                            <w:fldChar w:fldCharType="begin"/>
                          </w:r>
                          <w:r>
                            <w:instrText xml:space="preserve"> PAGE  \* MERGEFORMAT </w:instrText>
                          </w:r>
                          <w:r>
                            <w:fldChar w:fldCharType="separate"/>
                          </w:r>
                          <w:r>
                            <w:t>V</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femfTAQAApQ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eImLCmxzODEz79+nn//&#10;Pf/5Qd5eJ4F6DzXm3XnMjMMHN2DyfA94mXgPMpj0RUYE4yjv6SKvGCLh6VG1qqoSQxxjs4P4xcNz&#10;HyB+FM6QZDQ04PyyrOz4GeKYOqekatbdKq3zDLUlPaJeVe+u8otLCNG1xSKJxdhtsuKwGyZqO9ee&#10;kFmPS9BQiztPif5kUeO0L7MRZmM3Gwcf1L7LC5VaAf/+ELGd3GWqMMJOhXF6mee0aWk9/vdz1sPf&#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gfemfTAQAApQMAAA4AAAAAAAAAAQAgAAAA&#10;IgEAAGRycy9lMm9Eb2MueG1sUEsFBgAAAAAGAAYAWQEAAGcFAAAAAA==&#10;">
              <v:fill on="f" focussize="0,0"/>
              <v:stroke on="f" weight="1.25pt"/>
              <v:imagedata o:title=""/>
              <o:lock v:ext="edit" aspectratio="f"/>
              <v:textbox inset="0mm,0mm,0mm,0mm" style="mso-fit-shape-to-text:t;">
                <w:txbxContent>
                  <w:p w14:paraId="24ED6ADB">
                    <w:pPr>
                      <w:pStyle w:val="2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1BD1">
    <w:pPr>
      <w:pStyle w:val="20"/>
      <w:jc w:val="left"/>
      <w:rPr>
        <w:rFonts w:ascii="宋体" w:hAnsi="宋体" w:cs="宋体"/>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5DD809">
                          <w:pPr>
                            <w:pStyle w:val="20"/>
                          </w:pPr>
                          <w:r>
                            <w:fldChar w:fldCharType="begin"/>
                          </w:r>
                          <w:r>
                            <w:instrText xml:space="preserve"> PAGE  \* MERGEFORMAT </w:instrText>
                          </w:r>
                          <w:r>
                            <w:fldChar w:fldCharType="separate"/>
                          </w:r>
                          <w:r>
                            <w:t>VI</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zmoM3TAQAApQMAAA4AAABkcnMvZTJvRG9jLnhtbK1TS27bMBDd&#10;F8gdCO5jKQ7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S1uwpISywxO/PTj++nn&#10;79Ovb+T6NgnUe6gx79FjZhzeuwGT53vAy8R7kMGkLzIiGEd5j2d5xRAJT4+qZVWVGOIYmx3EL56f&#10;+wDxQThDktHQgPPLsrLDR4hj6pySqll3r7TOM9SW9Ih6U93e5BfnEKJri0USi7HbZMVhO0zUtq49&#10;IrMel6ChFneeEv3BosZpX2YjzMZ2NvY+qF2XFyq1Av7dPmI7uctUYYSdCuP0Ms9p09J6/O3nrOe/&#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zmoM3TAQAApQMAAA4AAAAAAAAAAQAgAAAA&#10;IgEAAGRycy9lMm9Eb2MueG1sUEsFBgAAAAAGAAYAWQEAAGcFAAAAAA==&#10;">
              <v:fill on="f" focussize="0,0"/>
              <v:stroke on="f" weight="1.25pt"/>
              <v:imagedata o:title=""/>
              <o:lock v:ext="edit" aspectratio="f"/>
              <v:textbox inset="0mm,0mm,0mm,0mm" style="mso-fit-shape-to-text:t;">
                <w:txbxContent>
                  <w:p w14:paraId="5E5DD809">
                    <w:pPr>
                      <w:pStyle w:val="20"/>
                    </w:pPr>
                    <w:r>
                      <w:fldChar w:fldCharType="begin"/>
                    </w:r>
                    <w:r>
                      <w:instrText xml:space="preserve"> PAGE  \* MERGEFORMAT </w:instrText>
                    </w:r>
                    <w:r>
                      <w:fldChar w:fldCharType="separate"/>
                    </w:r>
                    <w:r>
                      <w:t>VI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714E">
    <w:pPr>
      <w:pStyle w:val="21"/>
      <w:jc w:val="right"/>
      <w:rPr>
        <w:rFonts w:ascii="黑体" w:hAnsi="黑体" w:eastAsia="黑体" w:cs="黑体"/>
        <w:sz w:val="21"/>
        <w:szCs w:val="21"/>
      </w:rPr>
    </w:pPr>
    <w:r>
      <w:rPr>
        <w:rFonts w:hint="eastAsia" w:ascii="黑体" w:hAnsi="黑体" w:eastAsia="黑体" w:cs="黑体"/>
        <w:sz w:val="21"/>
        <w:szCs w:val="21"/>
      </w:rPr>
      <w:t>T/GDTA 001—2023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D274">
    <w:pPr>
      <w:pStyle w:val="21"/>
      <w:jc w:val="right"/>
      <w:rPr>
        <w:rFonts w:hint="eastAsia" w:eastAsia="黑体"/>
      </w:rPr>
    </w:pPr>
    <w:r>
      <w:rPr>
        <w:rFonts w:hint="eastAsia" w:ascii="黑体" w:hAnsi="黑体" w:eastAsia="黑体" w:cs="黑体"/>
        <w:sz w:val="21"/>
        <w:szCs w:val="21"/>
      </w:rPr>
      <w:t>T/GDTA XXX—2025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CCBF9">
    <w:pPr>
      <w:pStyle w:val="21"/>
      <w:rPr>
        <w:rFonts w:ascii="黑体" w:hAnsi="黑体" w:eastAsia="黑体" w:cs="黑体"/>
        <w:sz w:val="21"/>
        <w:szCs w:val="21"/>
      </w:rPr>
    </w:pPr>
    <w:r>
      <w:rPr>
        <w:rFonts w:hint="eastAsia" w:ascii="黑体" w:hAnsi="黑体" w:eastAsia="黑体" w:cs="黑体"/>
        <w:sz w:val="21"/>
        <w:szCs w:val="21"/>
      </w:rPr>
      <w:t>T/GDTA XXX—2025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EDD3">
    <w:pPr>
      <w:pStyle w:val="21"/>
      <w:spacing w:line="360" w:lineRule="auto"/>
      <w:jc w:val="right"/>
      <w:rPr>
        <w:rFonts w:ascii="黑体" w:hAnsi="黑体" w:eastAsia="黑体" w:cs="黑体"/>
        <w:sz w:val="21"/>
        <w:szCs w:val="21"/>
      </w:rPr>
    </w:pPr>
    <w:r>
      <w:rPr>
        <w:rFonts w:hint="eastAsia" w:ascii="黑体" w:hAnsi="黑体" w:eastAsia="黑体" w:cs="黑体"/>
        <w:sz w:val="21"/>
        <w:szCs w:val="21"/>
      </w:rPr>
      <w:t>T/GDTA XXX—2025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7F69">
    <w:pPr>
      <w:pStyle w:val="21"/>
      <w:spacing w:line="360" w:lineRule="auto"/>
      <w:rPr>
        <w:rFonts w:hint="eastAsia" w:ascii="黑体" w:hAnsi="黑体" w:eastAsia="黑体" w:cs="黑体"/>
        <w:sz w:val="21"/>
        <w:szCs w:val="21"/>
      </w:rPr>
    </w:pPr>
    <w:r>
      <w:rPr>
        <w:rFonts w:hint="eastAsia" w:ascii="黑体" w:hAnsi="黑体" w:eastAsia="黑体" w:cs="黑体"/>
        <w:sz w:val="21"/>
        <w:szCs w:val="21"/>
      </w:rPr>
      <w:t>T/GDTA XXX—2025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6575">
    <w:pPr>
      <w:pStyle w:val="84"/>
      <w:wordWrap w:val="0"/>
      <w:rPr>
        <w:rFonts w:hint="eastAsia"/>
      </w:rPr>
    </w:pPr>
    <w:r>
      <w:rPr>
        <w:rFonts w:hint="eastAsia"/>
      </w:rPr>
      <w:t>T/GDTA XXX—2025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49EC9">
    <w:pPr>
      <w:pStyle w:val="84"/>
      <w:jc w:val="left"/>
      <w:rPr>
        <w:rFonts w:hint="eastAsia"/>
      </w:rPr>
    </w:pPr>
    <w:r>
      <w:rPr>
        <w:rFonts w:hint="eastAsia"/>
      </w:rPr>
      <w:t>T/GDTA 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CBC3"/>
    <w:multiLevelType w:val="singleLevel"/>
    <w:tmpl w:val="BFEECBC3"/>
    <w:lvl w:ilvl="0" w:tentative="0">
      <w:start w:val="1"/>
      <w:numFmt w:val="lowerLetter"/>
      <w:suff w:val="nothing"/>
      <w:lvlText w:val="%1）"/>
      <w:lvlJc w:val="left"/>
    </w:lvl>
  </w:abstractNum>
  <w:abstractNum w:abstractNumId="1">
    <w:nsid w:val="08C87F09"/>
    <w:multiLevelType w:val="multilevel"/>
    <w:tmpl w:val="08C87F0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9507622"/>
    <w:multiLevelType w:val="multilevel"/>
    <w:tmpl w:val="09507622"/>
    <w:lvl w:ilvl="0" w:tentative="0">
      <w:start w:val="1"/>
      <w:numFmt w:val="lowerLetter"/>
      <w:lvlText w:val="%1)"/>
      <w:lvlJc w:val="left"/>
      <w:pPr>
        <w:ind w:left="780" w:hanging="360"/>
      </w:pPr>
      <w:rPr>
        <w:rFonts w:hint="default"/>
      </w:r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985D71"/>
    <w:multiLevelType w:val="multilevel"/>
    <w:tmpl w:val="1A985D71"/>
    <w:lvl w:ilvl="0" w:tentative="0">
      <w:start w:val="1"/>
      <w:numFmt w:val="lowerLetter"/>
      <w:lvlText w:val="%1)"/>
      <w:lvlJc w:val="left"/>
      <w:pPr>
        <w:ind w:left="780" w:hanging="360"/>
      </w:pPr>
      <w:rPr>
        <w:rFonts w:hint="default"/>
      </w:r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DBF583A"/>
    <w:multiLevelType w:val="multilevel"/>
    <w:tmpl w:val="1DBF583A"/>
    <w:lvl w:ilvl="0" w:tentative="0">
      <w:start w:val="1"/>
      <w:numFmt w:val="decimal"/>
      <w:pStyle w:val="1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09"/>
      <w:lvlText w:val="%1"/>
      <w:lvlJc w:val="left"/>
      <w:pPr>
        <w:ind w:left="425" w:hanging="425"/>
      </w:pPr>
      <w:rPr>
        <w:rFonts w:hint="default"/>
        <w:b w:val="0"/>
        <w:i w:val="0"/>
        <w:sz w:val="21"/>
        <w:szCs w:val="21"/>
      </w:rPr>
    </w:lvl>
    <w:lvl w:ilvl="1" w:tentative="0">
      <w:start w:val="1"/>
      <w:numFmt w:val="decimal"/>
      <w:pStyle w:val="82"/>
      <w:lvlText w:val="%1.%2"/>
      <w:lvlJc w:val="left"/>
      <w:pPr>
        <w:ind w:left="992" w:hanging="567"/>
      </w:pPr>
      <w:rPr>
        <w:rFonts w:hint="eastAsia" w:ascii="黑体" w:eastAsia="黑体"/>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lvlText w:val="%1.%2.%3"/>
      <w:lvlJc w:val="left"/>
      <w:pPr>
        <w:ind w:left="1418" w:hanging="567"/>
      </w:pPr>
      <w:rPr>
        <w:rFonts w:hint="default" w:ascii="黑体" w:hAnsi="黑体" w:eastAsia="黑体"/>
        <w:b w:val="0"/>
        <w:i w:val="0"/>
        <w:sz w:val="21"/>
      </w:rPr>
    </w:lvl>
    <w:lvl w:ilvl="3" w:tentative="0">
      <w:start w:val="1"/>
      <w:numFmt w:val="decimal"/>
      <w:lvlText w:val="%1.%2.%3.%4"/>
      <w:lvlJc w:val="left"/>
      <w:pPr>
        <w:ind w:left="1984" w:hanging="708"/>
      </w:pPr>
      <w:rPr>
        <w:rFonts w:hint="default"/>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eastAsia"/>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4790C7B"/>
    <w:multiLevelType w:val="singleLevel"/>
    <w:tmpl w:val="24790C7B"/>
    <w:lvl w:ilvl="0" w:tentative="0">
      <w:start w:val="1"/>
      <w:numFmt w:val="lowerLetter"/>
      <w:suff w:val="space"/>
      <w:lvlText w:val="%1）"/>
      <w:lvlJc w:val="left"/>
    </w:lvl>
  </w:abstractNum>
  <w:abstractNum w:abstractNumId="7">
    <w:nsid w:val="2A8F7113"/>
    <w:multiLevelType w:val="multilevel"/>
    <w:tmpl w:val="2A8F7113"/>
    <w:lvl w:ilvl="0" w:tentative="0">
      <w:start w:val="1"/>
      <w:numFmt w:val="upperLetter"/>
      <w:pStyle w:val="57"/>
      <w:suff w:val="space"/>
      <w:lvlText w:val="%1"/>
      <w:lvlJc w:val="left"/>
      <w:pPr>
        <w:ind w:left="623" w:hanging="425"/>
      </w:pPr>
      <w:rPr>
        <w:rFonts w:hint="eastAsia"/>
      </w:rPr>
    </w:lvl>
    <w:lvl w:ilvl="1" w:tentative="0">
      <w:start w:val="1"/>
      <w:numFmt w:val="decimal"/>
      <w:pStyle w:val="15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83"/>
      <w:suff w:val="nothing"/>
      <w:lvlText w:val="%1——"/>
      <w:lvlJc w:val="left"/>
      <w:pPr>
        <w:ind w:left="833" w:hanging="408"/>
      </w:pPr>
      <w:rPr>
        <w:rFonts w:hint="eastAsia"/>
        <w:lang w:val="en-US"/>
      </w:rPr>
    </w:lvl>
    <w:lvl w:ilvl="1" w:tentative="0">
      <w:start w:val="1"/>
      <w:numFmt w:val="bullet"/>
      <w:pStyle w:val="166"/>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CE93136"/>
    <w:multiLevelType w:val="multilevel"/>
    <w:tmpl w:val="2CE93136"/>
    <w:lvl w:ilvl="0" w:tentative="0">
      <w:start w:val="1"/>
      <w:numFmt w:val="lowerLetter"/>
      <w:lvlText w:val="%1)"/>
      <w:lvlJc w:val="left"/>
      <w:pPr>
        <w:ind w:left="780" w:hanging="360"/>
      </w:pPr>
      <w:rPr>
        <w:rFonts w:hint="default"/>
      </w:r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42"/>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150"/>
      <w:lvlText w:val="%2)"/>
      <w:lvlJc w:val="left"/>
      <w:pPr>
        <w:tabs>
          <w:tab w:val="left" w:pos="1260"/>
        </w:tabs>
        <w:ind w:left="1259" w:hanging="419"/>
      </w:pPr>
      <w:rPr>
        <w:rFonts w:hint="eastAsia"/>
      </w:rPr>
    </w:lvl>
    <w:lvl w:ilvl="2" w:tentative="0">
      <w:start w:val="1"/>
      <w:numFmt w:val="decimal"/>
      <w:pStyle w:val="1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60B55DC2"/>
    <w:multiLevelType w:val="multilevel"/>
    <w:tmpl w:val="60B55DC2"/>
    <w:lvl w:ilvl="0" w:tentative="0">
      <w:start w:val="1"/>
      <w:numFmt w:val="upperLetter"/>
      <w:pStyle w:val="55"/>
      <w:lvlText w:val="%1"/>
      <w:lvlJc w:val="left"/>
      <w:pPr>
        <w:tabs>
          <w:tab w:val="left" w:pos="0"/>
        </w:tabs>
        <w:ind w:left="0" w:hanging="425"/>
      </w:pPr>
      <w:rPr>
        <w:rFonts w:hint="eastAsia"/>
      </w:rPr>
    </w:lvl>
    <w:lvl w:ilvl="1" w:tentative="0">
      <w:start w:val="1"/>
      <w:numFmt w:val="decimal"/>
      <w:pStyle w:val="14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8"/>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64"/>
      <w:lvlText w:val="%1)"/>
      <w:lvlJc w:val="left"/>
      <w:pPr>
        <w:tabs>
          <w:tab w:val="left" w:pos="839"/>
        </w:tabs>
        <w:ind w:left="839" w:hanging="419"/>
      </w:pPr>
      <w:rPr>
        <w:rFonts w:hint="eastAsia" w:ascii="宋体" w:eastAsia="宋体"/>
        <w:b w:val="0"/>
        <w:i w:val="0"/>
        <w:sz w:val="21"/>
      </w:rPr>
    </w:lvl>
    <w:lvl w:ilvl="1" w:tentative="0">
      <w:start w:val="1"/>
      <w:numFmt w:val="decimal"/>
      <w:pStyle w:val="13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71EB0511"/>
    <w:multiLevelType w:val="multilevel"/>
    <w:tmpl w:val="71EB0511"/>
    <w:lvl w:ilvl="0" w:tentative="0">
      <w:start w:val="1"/>
      <w:numFmt w:val="lowerLetter"/>
      <w:lvlText w:val="%1)"/>
      <w:lvlJc w:val="left"/>
      <w:pPr>
        <w:ind w:left="780" w:hanging="360"/>
      </w:pPr>
      <w:rPr>
        <w:rFonts w:hint="default"/>
      </w:rPr>
    </w:lvl>
    <w:lvl w:ilvl="1" w:tentative="0">
      <w:start w:val="1"/>
      <w:numFmt w:val="decimal"/>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12"/>
  </w:num>
  <w:num w:numId="3">
    <w:abstractNumId w:val="7"/>
  </w:num>
  <w:num w:numId="4">
    <w:abstractNumId w:val="13"/>
  </w:num>
  <w:num w:numId="5">
    <w:abstractNumId w:val="14"/>
  </w:num>
  <w:num w:numId="6">
    <w:abstractNumId w:val="5"/>
  </w:num>
  <w:num w:numId="7">
    <w:abstractNumId w:val="8"/>
  </w:num>
  <w:num w:numId="8">
    <w:abstractNumId w:val="11"/>
  </w:num>
  <w:num w:numId="9">
    <w:abstractNumId w:val="4"/>
  </w:num>
  <w:num w:numId="10">
    <w:abstractNumId w:val="0"/>
  </w:num>
  <w:num w:numId="11">
    <w:abstractNumId w:val="9"/>
  </w:num>
  <w:num w:numId="12">
    <w:abstractNumId w:val="2"/>
  </w:num>
  <w:num w:numId="13">
    <w:abstractNumId w:val="1"/>
  </w:num>
  <w:num w:numId="14">
    <w:abstractNumId w:val="1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E7EFC"/>
    <w:rsid w:val="04956A61"/>
    <w:rsid w:val="04CD3AB3"/>
    <w:rsid w:val="057E74F5"/>
    <w:rsid w:val="06CD24E2"/>
    <w:rsid w:val="072D5B5D"/>
    <w:rsid w:val="07856AC4"/>
    <w:rsid w:val="0BB77707"/>
    <w:rsid w:val="0D2210AE"/>
    <w:rsid w:val="0E5F1423"/>
    <w:rsid w:val="0EE2746A"/>
    <w:rsid w:val="11F03528"/>
    <w:rsid w:val="126A32DB"/>
    <w:rsid w:val="126F08F1"/>
    <w:rsid w:val="12BB55BA"/>
    <w:rsid w:val="13C46A1B"/>
    <w:rsid w:val="13CE5AEB"/>
    <w:rsid w:val="14270D58"/>
    <w:rsid w:val="142C636E"/>
    <w:rsid w:val="15FDB236"/>
    <w:rsid w:val="17263548"/>
    <w:rsid w:val="1BBFA06C"/>
    <w:rsid w:val="1C0302FC"/>
    <w:rsid w:val="1CDD28FB"/>
    <w:rsid w:val="1F193D32"/>
    <w:rsid w:val="1FAD3A30"/>
    <w:rsid w:val="25284260"/>
    <w:rsid w:val="25F3318F"/>
    <w:rsid w:val="270D51E0"/>
    <w:rsid w:val="283F78B1"/>
    <w:rsid w:val="2AC722F5"/>
    <w:rsid w:val="2B5526C7"/>
    <w:rsid w:val="2B8C448A"/>
    <w:rsid w:val="2C140414"/>
    <w:rsid w:val="2D1B54A6"/>
    <w:rsid w:val="2D412607"/>
    <w:rsid w:val="2D600B26"/>
    <w:rsid w:val="2E3B56D4"/>
    <w:rsid w:val="2F77098D"/>
    <w:rsid w:val="2FD22CBD"/>
    <w:rsid w:val="2FD335B0"/>
    <w:rsid w:val="332E1CAB"/>
    <w:rsid w:val="339C6C14"/>
    <w:rsid w:val="369E4EAF"/>
    <w:rsid w:val="37B7B85E"/>
    <w:rsid w:val="37FFEEF9"/>
    <w:rsid w:val="3831412E"/>
    <w:rsid w:val="38AC5B4C"/>
    <w:rsid w:val="3A901F77"/>
    <w:rsid w:val="3BF848DC"/>
    <w:rsid w:val="3C527C87"/>
    <w:rsid w:val="3DD6CBBE"/>
    <w:rsid w:val="3DFB66CD"/>
    <w:rsid w:val="3F2596A5"/>
    <w:rsid w:val="3F3B5533"/>
    <w:rsid w:val="3FCF13CA"/>
    <w:rsid w:val="3FF1F81C"/>
    <w:rsid w:val="40A67324"/>
    <w:rsid w:val="41C45CB4"/>
    <w:rsid w:val="42530DE6"/>
    <w:rsid w:val="465810C1"/>
    <w:rsid w:val="46BA58D8"/>
    <w:rsid w:val="46C87FF5"/>
    <w:rsid w:val="46EF755B"/>
    <w:rsid w:val="47F428CB"/>
    <w:rsid w:val="47F6888D"/>
    <w:rsid w:val="487144D7"/>
    <w:rsid w:val="4B1F21AD"/>
    <w:rsid w:val="4B321EE0"/>
    <w:rsid w:val="4F1A33B7"/>
    <w:rsid w:val="4FEF0F48"/>
    <w:rsid w:val="51087240"/>
    <w:rsid w:val="5349426B"/>
    <w:rsid w:val="53EF57AD"/>
    <w:rsid w:val="55593B0E"/>
    <w:rsid w:val="571C1C97"/>
    <w:rsid w:val="577DB20C"/>
    <w:rsid w:val="5B3255E5"/>
    <w:rsid w:val="5B721A2C"/>
    <w:rsid w:val="5BA275EF"/>
    <w:rsid w:val="5D63A390"/>
    <w:rsid w:val="5DE73C2F"/>
    <w:rsid w:val="5F2239E4"/>
    <w:rsid w:val="5F4D70ED"/>
    <w:rsid w:val="5FDC6D70"/>
    <w:rsid w:val="5FDEBFC0"/>
    <w:rsid w:val="602B08B8"/>
    <w:rsid w:val="609EE7D4"/>
    <w:rsid w:val="61314591"/>
    <w:rsid w:val="61BFF06B"/>
    <w:rsid w:val="61FC06FB"/>
    <w:rsid w:val="655C7176"/>
    <w:rsid w:val="662B5A52"/>
    <w:rsid w:val="677F717A"/>
    <w:rsid w:val="67962602"/>
    <w:rsid w:val="69194288"/>
    <w:rsid w:val="6A5512F0"/>
    <w:rsid w:val="6B07083C"/>
    <w:rsid w:val="6BAB2E3A"/>
    <w:rsid w:val="6BE7C7EB"/>
    <w:rsid w:val="6C953C26"/>
    <w:rsid w:val="6CB8C5E5"/>
    <w:rsid w:val="6EFC4749"/>
    <w:rsid w:val="6EFEE3C4"/>
    <w:rsid w:val="6F4595CA"/>
    <w:rsid w:val="6FA0300D"/>
    <w:rsid w:val="6FDFC6CF"/>
    <w:rsid w:val="70FF3D63"/>
    <w:rsid w:val="720535FB"/>
    <w:rsid w:val="72270BD8"/>
    <w:rsid w:val="728F7F82"/>
    <w:rsid w:val="736D1458"/>
    <w:rsid w:val="736D4BE1"/>
    <w:rsid w:val="73770529"/>
    <w:rsid w:val="73CFEAF3"/>
    <w:rsid w:val="73FF4D54"/>
    <w:rsid w:val="754B03E2"/>
    <w:rsid w:val="766D79C1"/>
    <w:rsid w:val="769A1D4A"/>
    <w:rsid w:val="769F8142"/>
    <w:rsid w:val="76F94465"/>
    <w:rsid w:val="773F30CA"/>
    <w:rsid w:val="77B2DCE5"/>
    <w:rsid w:val="77FF26D1"/>
    <w:rsid w:val="7979EAFA"/>
    <w:rsid w:val="7A3B24C5"/>
    <w:rsid w:val="7B0A3A31"/>
    <w:rsid w:val="7B77A1F9"/>
    <w:rsid w:val="7BE73D72"/>
    <w:rsid w:val="7C1C619F"/>
    <w:rsid w:val="7C992CA9"/>
    <w:rsid w:val="7CFA793A"/>
    <w:rsid w:val="7D7D9B01"/>
    <w:rsid w:val="7DB22191"/>
    <w:rsid w:val="7DF2F302"/>
    <w:rsid w:val="7DFB8D8A"/>
    <w:rsid w:val="7E731E93"/>
    <w:rsid w:val="7E8B0879"/>
    <w:rsid w:val="7EBFDB09"/>
    <w:rsid w:val="7EBFE83A"/>
    <w:rsid w:val="7EBFF38A"/>
    <w:rsid w:val="7EF7996A"/>
    <w:rsid w:val="7F078F4A"/>
    <w:rsid w:val="7F3F9E90"/>
    <w:rsid w:val="7F9F1512"/>
    <w:rsid w:val="7F9F365C"/>
    <w:rsid w:val="7FB53CE3"/>
    <w:rsid w:val="7FE2FCF5"/>
    <w:rsid w:val="7FFDA9C5"/>
    <w:rsid w:val="9B7E7266"/>
    <w:rsid w:val="9FF6E1F1"/>
    <w:rsid w:val="AD7FB7CF"/>
    <w:rsid w:val="ADBBE809"/>
    <w:rsid w:val="B7EFC145"/>
    <w:rsid w:val="B7FC4A3B"/>
    <w:rsid w:val="BDF3008B"/>
    <w:rsid w:val="BECF554B"/>
    <w:rsid w:val="BFE90959"/>
    <w:rsid w:val="C5A9F29A"/>
    <w:rsid w:val="C7DBCAAE"/>
    <w:rsid w:val="C7FC09C5"/>
    <w:rsid w:val="CE747FDE"/>
    <w:rsid w:val="D3BCF643"/>
    <w:rsid w:val="DB3F370B"/>
    <w:rsid w:val="DDB70CD2"/>
    <w:rsid w:val="DF5FF991"/>
    <w:rsid w:val="DF7A569E"/>
    <w:rsid w:val="E7EE2E73"/>
    <w:rsid w:val="E7F98AA3"/>
    <w:rsid w:val="E8C62D38"/>
    <w:rsid w:val="EB7398E1"/>
    <w:rsid w:val="EE57981D"/>
    <w:rsid w:val="EEEBD1C0"/>
    <w:rsid w:val="EFBF38F3"/>
    <w:rsid w:val="EFFB51DA"/>
    <w:rsid w:val="EFFD6B93"/>
    <w:rsid w:val="F3AF2892"/>
    <w:rsid w:val="F3F7C65B"/>
    <w:rsid w:val="F3FAA882"/>
    <w:rsid w:val="F3FF1A1B"/>
    <w:rsid w:val="F3FF2CA8"/>
    <w:rsid w:val="F7589257"/>
    <w:rsid w:val="F77DB8A9"/>
    <w:rsid w:val="F7F892D4"/>
    <w:rsid w:val="F7FFAC7B"/>
    <w:rsid w:val="F9FD5774"/>
    <w:rsid w:val="FA73A335"/>
    <w:rsid w:val="FBBD79C1"/>
    <w:rsid w:val="FBD7FFA6"/>
    <w:rsid w:val="FBFD65C3"/>
    <w:rsid w:val="FCDF0FF4"/>
    <w:rsid w:val="FD9E29CF"/>
    <w:rsid w:val="FDB1C0A6"/>
    <w:rsid w:val="FEEE4F8A"/>
    <w:rsid w:val="FF3F5EA9"/>
    <w:rsid w:val="FF4F5A0F"/>
    <w:rsid w:val="FF7B6EBC"/>
    <w:rsid w:val="FF7D7E96"/>
    <w:rsid w:val="FFAF3269"/>
    <w:rsid w:val="FFDE32BA"/>
    <w:rsid w:val="FFDEB249"/>
    <w:rsid w:val="FFED93A7"/>
    <w:rsid w:val="FFEFDFD0"/>
    <w:rsid w:val="FFFB2AD1"/>
    <w:rsid w:val="FFFD90BF"/>
    <w:rsid w:val="FFFFB9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99" w:semiHidden="0" w:name="HTML Acronym"/>
    <w:lsdException w:unhideWhenUsed="0" w:uiPriority="0"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0" w:semiHidden="0" w:name="HTML Preformatted"/>
    <w:lsdException w:unhideWhenUsed="0" w:uiPriority="99" w:semiHidden="0" w:name="HTML Sample"/>
    <w:lsdException w:unhideWhenUsed="0" w:uiPriority="0" w:semiHidden="0" w:name="HTML Typewriter"/>
    <w:lsdException w:unhideWhenUsed="0" w:uiPriority="99"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spacing w:before="100" w:beforeAutospacing="1" w:after="100" w:afterAutospacing="1"/>
      <w:jc w:val="left"/>
      <w:outlineLvl w:val="0"/>
    </w:pPr>
    <w:rPr>
      <w:b/>
      <w:kern w:val="44"/>
      <w:sz w:val="44"/>
      <w:szCs w:val="20"/>
    </w:rPr>
  </w:style>
  <w:style w:type="paragraph" w:styleId="3">
    <w:name w:val="heading 2"/>
    <w:basedOn w:val="1"/>
    <w:next w:val="1"/>
    <w:link w:val="47"/>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4">
    <w:name w:val="heading 3"/>
    <w:basedOn w:val="1"/>
    <w:next w:val="1"/>
    <w:link w:val="48"/>
    <w:qFormat/>
    <w:uiPriority w:val="0"/>
    <w:pPr>
      <w:spacing w:before="100" w:beforeAutospacing="1" w:after="100" w:afterAutospacing="1"/>
      <w:jc w:val="left"/>
      <w:outlineLvl w:val="2"/>
    </w:pPr>
    <w:rPr>
      <w:b/>
      <w:kern w:val="0"/>
      <w:sz w:val="32"/>
      <w:szCs w:val="20"/>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qFormat/>
    <w:uiPriority w:val="0"/>
    <w:pPr>
      <w:widowControl w:val="0"/>
    </w:pPr>
    <w:rPr>
      <w:rFonts w:ascii="Times New Roman" w:hAnsi="Times New Roman" w:eastAsia="宋体" w:cs="Times New Roman"/>
      <w:kern w:val="2"/>
      <w:sz w:val="32"/>
      <w:szCs w:val="24"/>
      <w:lang w:val="en-US" w:eastAsia="zh-CN" w:bidi="ar-SA"/>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49"/>
    <w:qFormat/>
    <w:uiPriority w:val="0"/>
    <w:pPr>
      <w:spacing w:after="120"/>
    </w:p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50"/>
    <w:qFormat/>
    <w:uiPriority w:val="0"/>
    <w:rPr>
      <w:sz w:val="18"/>
      <w:szCs w:val="18"/>
    </w:rPr>
  </w:style>
  <w:style w:type="paragraph" w:styleId="20">
    <w:name w:val="footer"/>
    <w:basedOn w:val="1"/>
    <w:link w:val="51"/>
    <w:qFormat/>
    <w:uiPriority w:val="99"/>
    <w:pPr>
      <w:snapToGrid w:val="0"/>
      <w:ind w:right="210" w:rightChars="100"/>
      <w:jc w:val="right"/>
    </w:pPr>
    <w:rPr>
      <w:sz w:val="18"/>
      <w:szCs w:val="18"/>
    </w:rPr>
  </w:style>
  <w:style w:type="paragraph" w:styleId="21">
    <w:name w:val="header"/>
    <w:basedOn w:val="1"/>
    <w:link w:val="52"/>
    <w:qFormat/>
    <w:uiPriority w:val="99"/>
    <w:pPr>
      <w:snapToGrid w:val="0"/>
      <w:jc w:val="left"/>
    </w:pPr>
    <w:rPr>
      <w:sz w:val="18"/>
      <w:szCs w:val="18"/>
    </w:rPr>
  </w:style>
  <w:style w:type="paragraph" w:styleId="22">
    <w:name w:val="toc 1"/>
    <w:basedOn w:val="1"/>
    <w:next w:val="1"/>
    <w:qFormat/>
    <w:uiPriority w:val="39"/>
    <w:pPr>
      <w:tabs>
        <w:tab w:val="right" w:leader="dot" w:pos="9241"/>
      </w:tabs>
      <w:spacing w:before="78" w:beforeLines="25" w:after="78"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beforeLines="0" w:after="120" w:afterLines="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22"/>
    <w:rPr>
      <w:b/>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20"/>
    <w:rPr>
      <w:i/>
    </w:rPr>
  </w:style>
  <w:style w:type="character" w:styleId="43">
    <w:name w:val="Hyperlink"/>
    <w:qFormat/>
    <w:uiPriority w:val="99"/>
    <w:rPr>
      <w:color w:val="0000FF"/>
      <w:spacing w:val="0"/>
      <w:w w:val="100"/>
      <w:szCs w:val="21"/>
      <w:u w:val="single"/>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character" w:customStyle="1" w:styleId="46">
    <w:name w:val="标题 1 字符"/>
    <w:link w:val="2"/>
    <w:qFormat/>
    <w:uiPriority w:val="0"/>
    <w:rPr>
      <w:b/>
      <w:kern w:val="44"/>
      <w:sz w:val="44"/>
    </w:rPr>
  </w:style>
  <w:style w:type="character" w:customStyle="1" w:styleId="47">
    <w:name w:val="标题 2 字符"/>
    <w:link w:val="3"/>
    <w:qFormat/>
    <w:uiPriority w:val="0"/>
    <w:rPr>
      <w:rFonts w:ascii="Arial" w:hAnsi="Arial" w:eastAsia="黑体"/>
      <w:b/>
      <w:sz w:val="32"/>
    </w:rPr>
  </w:style>
  <w:style w:type="character" w:customStyle="1" w:styleId="48">
    <w:name w:val="标题 3 字符"/>
    <w:link w:val="4"/>
    <w:qFormat/>
    <w:uiPriority w:val="0"/>
    <w:rPr>
      <w:b/>
      <w:sz w:val="32"/>
    </w:rPr>
  </w:style>
  <w:style w:type="character" w:customStyle="1" w:styleId="49">
    <w:name w:val="正文文本 字符"/>
    <w:link w:val="12"/>
    <w:qFormat/>
    <w:uiPriority w:val="0"/>
    <w:rPr>
      <w:rFonts w:ascii="Times New Roman" w:hAnsi="Times New Roman"/>
      <w:kern w:val="2"/>
      <w:sz w:val="21"/>
      <w:szCs w:val="24"/>
    </w:rPr>
  </w:style>
  <w:style w:type="character" w:customStyle="1" w:styleId="50">
    <w:name w:val="批注框文本 字符"/>
    <w:link w:val="19"/>
    <w:qFormat/>
    <w:uiPriority w:val="0"/>
    <w:rPr>
      <w:kern w:val="2"/>
      <w:sz w:val="18"/>
      <w:szCs w:val="18"/>
    </w:rPr>
  </w:style>
  <w:style w:type="character" w:customStyle="1" w:styleId="51">
    <w:name w:val="页脚 字符"/>
    <w:link w:val="20"/>
    <w:qFormat/>
    <w:uiPriority w:val="99"/>
    <w:rPr>
      <w:kern w:val="2"/>
      <w:sz w:val="18"/>
      <w:szCs w:val="18"/>
    </w:rPr>
  </w:style>
  <w:style w:type="character" w:customStyle="1" w:styleId="52">
    <w:name w:val="页眉 字符"/>
    <w:link w:val="21"/>
    <w:qFormat/>
    <w:uiPriority w:val="99"/>
    <w:rPr>
      <w:kern w:val="2"/>
      <w:sz w:val="18"/>
      <w:szCs w:val="18"/>
    </w:rPr>
  </w:style>
  <w:style w:type="character" w:customStyle="1" w:styleId="53">
    <w:name w:val="段 Char"/>
    <w:link w:val="26"/>
    <w:qFormat/>
    <w:uiPriority w:val="0"/>
    <w:rPr>
      <w:rFonts w:ascii="宋体"/>
      <w:sz w:val="21"/>
      <w:lang w:val="en-US" w:eastAsia="zh-CN" w:bidi="ar-SA"/>
    </w:rPr>
  </w:style>
  <w:style w:type="character" w:customStyle="1" w:styleId="54">
    <w:name w:val="附录表标号 Char"/>
    <w:link w:val="55"/>
    <w:qFormat/>
    <w:uiPriority w:val="0"/>
    <w:rPr>
      <w:color w:val="FFFFFF"/>
    </w:rPr>
  </w:style>
  <w:style w:type="paragraph" w:customStyle="1" w:styleId="55">
    <w:name w:val="附录表标号"/>
    <w:basedOn w:val="1"/>
    <w:next w:val="26"/>
    <w:link w:val="54"/>
    <w:qFormat/>
    <w:uiPriority w:val="0"/>
    <w:pPr>
      <w:numPr>
        <w:ilvl w:val="0"/>
        <w:numId w:val="2"/>
      </w:numPr>
      <w:spacing w:line="14" w:lineRule="exact"/>
      <w:ind w:left="811" w:hanging="448"/>
      <w:jc w:val="center"/>
      <w:outlineLvl w:val="0"/>
    </w:pPr>
    <w:rPr>
      <w:color w:val="FFFFFF"/>
      <w:kern w:val="0"/>
      <w:sz w:val="20"/>
      <w:szCs w:val="20"/>
    </w:rPr>
  </w:style>
  <w:style w:type="character" w:customStyle="1" w:styleId="56">
    <w:name w:val="附录图标号 Char"/>
    <w:link w:val="57"/>
    <w:qFormat/>
    <w:uiPriority w:val="0"/>
    <w:rPr>
      <w:color w:val="FFFFFF"/>
    </w:rPr>
  </w:style>
  <w:style w:type="paragraph" w:customStyle="1" w:styleId="57">
    <w:name w:val="附录图标号"/>
    <w:basedOn w:val="1"/>
    <w:link w:val="56"/>
    <w:qFormat/>
    <w:uiPriority w:val="0"/>
    <w:pPr>
      <w:keepNext/>
      <w:pageBreakBefore/>
      <w:widowControl/>
      <w:numPr>
        <w:ilvl w:val="0"/>
        <w:numId w:val="3"/>
      </w:numPr>
      <w:spacing w:line="14" w:lineRule="exact"/>
      <w:ind w:left="0" w:firstLine="363"/>
      <w:jc w:val="center"/>
      <w:outlineLvl w:val="0"/>
    </w:pPr>
    <w:rPr>
      <w:color w:val="FFFFFF"/>
      <w:kern w:val="0"/>
      <w:sz w:val="20"/>
      <w:szCs w:val="20"/>
    </w:rPr>
  </w:style>
  <w:style w:type="character" w:customStyle="1" w:styleId="58">
    <w:name w:val="附录三级无 Char"/>
    <w:link w:val="59"/>
    <w:qFormat/>
    <w:uiPriority w:val="0"/>
    <w:rPr>
      <w:rFonts w:ascii="宋体"/>
      <w:szCs w:val="21"/>
    </w:rPr>
  </w:style>
  <w:style w:type="paragraph" w:customStyle="1" w:styleId="59">
    <w:name w:val="附录三级无"/>
    <w:basedOn w:val="60"/>
    <w:link w:val="58"/>
    <w:qFormat/>
    <w:uiPriority w:val="0"/>
    <w:pPr>
      <w:tabs>
        <w:tab w:val="left" w:pos="360"/>
      </w:tabs>
      <w:spacing w:before="0" w:beforeLines="0" w:after="0" w:afterLines="0"/>
    </w:pPr>
    <w:rPr>
      <w:rFonts w:ascii="宋体" w:eastAsia="宋体"/>
      <w:kern w:val="0"/>
      <w:szCs w:val="21"/>
    </w:rPr>
  </w:style>
  <w:style w:type="paragraph" w:customStyle="1" w:styleId="60">
    <w:name w:val="附录三级条标题"/>
    <w:basedOn w:val="61"/>
    <w:next w:val="26"/>
    <w:qFormat/>
    <w:uiPriority w:val="0"/>
    <w:pPr>
      <w:tabs>
        <w:tab w:val="left" w:pos="360"/>
      </w:tabs>
      <w:outlineLvl w:val="4"/>
    </w:pPr>
  </w:style>
  <w:style w:type="paragraph" w:customStyle="1" w:styleId="61">
    <w:name w:val="附录二级条标题"/>
    <w:basedOn w:val="1"/>
    <w:next w:val="26"/>
    <w:link w:val="62"/>
    <w:qFormat/>
    <w:uiPriority w:val="0"/>
    <w:pPr>
      <w:widowControl/>
      <w:numPr>
        <w:ilvl w:val="3"/>
        <w:numId w:val="4"/>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sz w:val="20"/>
      <w:szCs w:val="20"/>
    </w:rPr>
  </w:style>
  <w:style w:type="character" w:customStyle="1" w:styleId="62">
    <w:name w:val="附录二级条标题 Char"/>
    <w:link w:val="61"/>
    <w:qFormat/>
    <w:uiPriority w:val="0"/>
    <w:rPr>
      <w:rFonts w:ascii="黑体" w:eastAsia="黑体"/>
      <w:kern w:val="21"/>
    </w:rPr>
  </w:style>
  <w:style w:type="character" w:customStyle="1" w:styleId="63">
    <w:name w:val="附录字母编号列项（一级） Char"/>
    <w:link w:val="64"/>
    <w:qFormat/>
    <w:uiPriority w:val="0"/>
    <w:rPr>
      <w:rFonts w:ascii="宋体"/>
      <w:sz w:val="21"/>
      <w:lang w:val="en-US" w:eastAsia="zh-CN" w:bidi="ar-SA"/>
    </w:rPr>
  </w:style>
  <w:style w:type="paragraph" w:customStyle="1" w:styleId="64">
    <w:name w:val="附录字母编号列项（一级）"/>
    <w:link w:val="63"/>
    <w:qFormat/>
    <w:uiPriority w:val="0"/>
    <w:pPr>
      <w:numPr>
        <w:ilvl w:val="0"/>
        <w:numId w:val="5"/>
      </w:numPr>
    </w:pPr>
    <w:rPr>
      <w:rFonts w:ascii="宋体" w:hAnsi="Times New Roman" w:eastAsia="宋体" w:cs="Times New Roman"/>
      <w:sz w:val="21"/>
      <w:lang w:val="en-US" w:eastAsia="zh-CN" w:bidi="ar-SA"/>
    </w:rPr>
  </w:style>
  <w:style w:type="character" w:customStyle="1" w:styleId="65">
    <w:name w:val="附录一级无 Char"/>
    <w:link w:val="66"/>
    <w:qFormat/>
    <w:uiPriority w:val="0"/>
    <w:rPr>
      <w:rFonts w:ascii="宋体"/>
      <w:szCs w:val="21"/>
    </w:rPr>
  </w:style>
  <w:style w:type="paragraph" w:customStyle="1" w:styleId="66">
    <w:name w:val="附录一级无"/>
    <w:basedOn w:val="67"/>
    <w:link w:val="65"/>
    <w:qFormat/>
    <w:uiPriority w:val="0"/>
    <w:pPr>
      <w:tabs>
        <w:tab w:val="left" w:pos="360"/>
      </w:tabs>
      <w:spacing w:before="0" w:beforeLines="0" w:after="0" w:afterLines="0"/>
    </w:pPr>
    <w:rPr>
      <w:rFonts w:ascii="宋体" w:eastAsia="宋体"/>
      <w:kern w:val="0"/>
      <w:sz w:val="20"/>
      <w:szCs w:val="21"/>
    </w:rPr>
  </w:style>
  <w:style w:type="paragraph" w:customStyle="1" w:styleId="67">
    <w:name w:val="附录一级条标题"/>
    <w:basedOn w:val="68"/>
    <w:next w:val="26"/>
    <w:link w:val="70"/>
    <w:qFormat/>
    <w:uiPriority w:val="0"/>
    <w:pPr>
      <w:tabs>
        <w:tab w:val="left" w:pos="360"/>
      </w:tabs>
      <w:autoSpaceDN w:val="0"/>
      <w:spacing w:before="156" w:beforeLines="50" w:after="156" w:afterLines="50"/>
      <w:outlineLvl w:val="2"/>
    </w:pPr>
  </w:style>
  <w:style w:type="paragraph" w:customStyle="1" w:styleId="68">
    <w:name w:val="附录章标题"/>
    <w:next w:val="26"/>
    <w:link w:val="69"/>
    <w:qFormat/>
    <w:uiPriority w:val="0"/>
    <w:pPr>
      <w:numPr>
        <w:ilvl w:val="1"/>
        <w:numId w:val="4"/>
      </w:numPr>
      <w:tabs>
        <w:tab w:val="left" w:pos="360"/>
      </w:tabs>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69">
    <w:name w:val="附录章标题 Char Char"/>
    <w:link w:val="68"/>
    <w:qFormat/>
    <w:locked/>
    <w:uiPriority w:val="0"/>
    <w:rPr>
      <w:rFonts w:ascii="黑体" w:eastAsia="黑体"/>
      <w:kern w:val="21"/>
      <w:sz w:val="21"/>
      <w:lang w:val="en-US" w:eastAsia="zh-CN" w:bidi="ar-SA"/>
    </w:rPr>
  </w:style>
  <w:style w:type="character" w:customStyle="1" w:styleId="70">
    <w:name w:val="附录一级条标题 Char"/>
    <w:link w:val="67"/>
    <w:qFormat/>
    <w:uiPriority w:val="0"/>
    <w:rPr>
      <w:rFonts w:ascii="黑体" w:eastAsia="黑体"/>
      <w:kern w:val="21"/>
      <w:sz w:val="21"/>
    </w:rPr>
  </w:style>
  <w:style w:type="character" w:customStyle="1" w:styleId="71">
    <w:name w:val="附录公式 Char"/>
    <w:link w:val="72"/>
    <w:qFormat/>
    <w:uiPriority w:val="0"/>
    <w:rPr>
      <w:lang w:val="en-US" w:eastAsia="zh-CN" w:bidi="ar-SA"/>
    </w:rPr>
  </w:style>
  <w:style w:type="paragraph" w:customStyle="1" w:styleId="72">
    <w:name w:val="附录公式"/>
    <w:basedOn w:val="26"/>
    <w:next w:val="26"/>
    <w:link w:val="71"/>
    <w:qFormat/>
    <w:uiPriority w:val="0"/>
  </w:style>
  <w:style w:type="character" w:customStyle="1" w:styleId="73">
    <w:name w:val="段 Char Char"/>
    <w:qFormat/>
    <w:uiPriority w:val="0"/>
    <w:rPr>
      <w:rFonts w:ascii="宋体"/>
      <w:sz w:val="21"/>
      <w:lang w:val="en-US" w:eastAsia="zh-CN" w:bidi="ar-SA"/>
    </w:rPr>
  </w:style>
  <w:style w:type="character" w:customStyle="1" w:styleId="74">
    <w:name w:val="发布"/>
    <w:qFormat/>
    <w:uiPriority w:val="0"/>
    <w:rPr>
      <w:rFonts w:ascii="黑体" w:eastAsia="黑体"/>
      <w:spacing w:val="85"/>
      <w:w w:val="100"/>
      <w:position w:val="3"/>
      <w:sz w:val="28"/>
      <w:szCs w:val="28"/>
    </w:rPr>
  </w:style>
  <w:style w:type="character" w:customStyle="1" w:styleId="75">
    <w:name w:val="首示例 Char"/>
    <w:link w:val="76"/>
    <w:qFormat/>
    <w:uiPriority w:val="0"/>
    <w:rPr>
      <w:rFonts w:ascii="宋体" w:hAnsi="宋体"/>
      <w:kern w:val="2"/>
      <w:sz w:val="18"/>
      <w:szCs w:val="18"/>
      <w:lang w:val="en-US" w:eastAsia="zh-CN" w:bidi="ar-SA"/>
    </w:rPr>
  </w:style>
  <w:style w:type="paragraph" w:customStyle="1" w:styleId="76">
    <w:name w:val="首示例"/>
    <w:next w:val="26"/>
    <w:link w:val="75"/>
    <w:qFormat/>
    <w:uiPriority w:val="0"/>
    <w:pPr>
      <w:tabs>
        <w:tab w:val="left" w:pos="360"/>
      </w:tabs>
    </w:pPr>
    <w:rPr>
      <w:rFonts w:ascii="宋体" w:hAnsi="宋体" w:eastAsia="宋体" w:cs="Times New Roman"/>
      <w:kern w:val="2"/>
      <w:sz w:val="18"/>
      <w:szCs w:val="18"/>
      <w:lang w:val="en-US" w:eastAsia="zh-CN" w:bidi="ar-SA"/>
    </w:rPr>
  </w:style>
  <w:style w:type="character" w:customStyle="1" w:styleId="77">
    <w:name w:val="附录二级无 Char"/>
    <w:link w:val="78"/>
    <w:qFormat/>
    <w:uiPriority w:val="0"/>
    <w:rPr>
      <w:rFonts w:ascii="宋体"/>
      <w:szCs w:val="21"/>
    </w:rPr>
  </w:style>
  <w:style w:type="paragraph" w:customStyle="1" w:styleId="78">
    <w:name w:val="附录二级无"/>
    <w:basedOn w:val="61"/>
    <w:link w:val="77"/>
    <w:qFormat/>
    <w:uiPriority w:val="0"/>
    <w:pPr>
      <w:tabs>
        <w:tab w:val="clear" w:pos="360"/>
      </w:tabs>
      <w:spacing w:before="0" w:beforeLines="0" w:after="0" w:afterLines="0"/>
    </w:pPr>
    <w:rPr>
      <w:rFonts w:ascii="宋体" w:eastAsia="宋体"/>
      <w:kern w:val="0"/>
      <w:szCs w:val="21"/>
    </w:rPr>
  </w:style>
  <w:style w:type="character" w:customStyle="1" w:styleId="79">
    <w:name w:val="附录标识 Char"/>
    <w:link w:val="80"/>
    <w:qFormat/>
    <w:uiPriority w:val="0"/>
    <w:rPr>
      <w:rFonts w:ascii="黑体" w:eastAsia="黑体"/>
      <w:shd w:val="clear" w:color="FFFFFF" w:fill="FFFFFF"/>
    </w:rPr>
  </w:style>
  <w:style w:type="paragraph" w:customStyle="1" w:styleId="80">
    <w:name w:val="附录标识"/>
    <w:basedOn w:val="1"/>
    <w:next w:val="26"/>
    <w:link w:val="79"/>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 w:val="20"/>
      <w:szCs w:val="20"/>
    </w:rPr>
  </w:style>
  <w:style w:type="character" w:customStyle="1" w:styleId="81">
    <w:name w:val="一级条标题 Char"/>
    <w:link w:val="82"/>
    <w:qFormat/>
    <w:uiPriority w:val="0"/>
    <w:rPr>
      <w:rFonts w:ascii="黑体" w:eastAsia="黑体"/>
      <w:sz w:val="21"/>
      <w:szCs w:val="21"/>
      <w:lang w:val="en-US" w:eastAsia="zh-CN" w:bidi="ar-SA"/>
    </w:rPr>
  </w:style>
  <w:style w:type="paragraph" w:customStyle="1" w:styleId="82">
    <w:name w:val="一级条标题"/>
    <w:next w:val="26"/>
    <w:link w:val="81"/>
    <w:qFormat/>
    <w:uiPriority w:val="0"/>
    <w:pPr>
      <w:numPr>
        <w:ilvl w:val="1"/>
        <w:numId w:val="6"/>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3">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新规范正文"/>
    <w:basedOn w:val="1"/>
    <w:qFormat/>
    <w:uiPriority w:val="0"/>
    <w:pPr>
      <w:spacing w:line="300" w:lineRule="auto"/>
      <w:jc w:val="center"/>
    </w:pPr>
    <w:rPr>
      <w:rFonts w:ascii="Times New Roman" w:hAnsi="Times New Roman" w:eastAsia="黑体" w:cs="Times New Roman"/>
      <w:color w:val="0000FF"/>
    </w:rPr>
  </w:style>
  <w:style w:type="paragraph" w:customStyle="1" w:styleId="86">
    <w:name w:val="条文脚注"/>
    <w:basedOn w:val="27"/>
    <w:qFormat/>
    <w:uiPriority w:val="0"/>
    <w:pPr>
      <w:numPr>
        <w:ilvl w:val="0"/>
        <w:numId w:val="0"/>
      </w:numPr>
      <w:jc w:val="both"/>
    </w:p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_Style 87"/>
    <w:semiHidden/>
    <w:qFormat/>
    <w:uiPriority w:val="99"/>
    <w:rPr>
      <w:rFonts w:ascii="Times New Roman" w:hAnsi="Times New Roman" w:eastAsia="宋体" w:cs="Times New Roman"/>
      <w:kern w:val="2"/>
      <w:sz w:val="21"/>
      <w:szCs w:val="24"/>
      <w:lang w:val="en-US" w:eastAsia="zh-CN" w:bidi="ar-SA"/>
    </w:rPr>
  </w:style>
  <w:style w:type="paragraph" w:customStyle="1" w:styleId="89">
    <w:name w:val="标准书眉_偶数页"/>
    <w:basedOn w:val="84"/>
    <w:next w:val="1"/>
    <w:qFormat/>
    <w:uiPriority w:val="0"/>
    <w:pPr>
      <w:jc w:val="left"/>
    </w:pPr>
  </w:style>
  <w:style w:type="paragraph" w:customStyle="1" w:styleId="90">
    <w:name w:val="封面标准文稿类别"/>
    <w:basedOn w:val="91"/>
    <w:qFormat/>
    <w:uiPriority w:val="0"/>
    <w:pPr>
      <w:spacing w:after="160" w:afterLines="0" w:line="240" w:lineRule="auto"/>
    </w:pPr>
    <w:rPr>
      <w:sz w:val="24"/>
    </w:rPr>
  </w:style>
  <w:style w:type="paragraph" w:customStyle="1" w:styleId="91">
    <w:name w:val="封面一致性程度标识"/>
    <w:basedOn w:val="92"/>
    <w:qFormat/>
    <w:uiPriority w:val="0"/>
    <w:pPr>
      <w:spacing w:before="440" w:beforeLines="0"/>
    </w:pPr>
    <w:rPr>
      <w:rFonts w:ascii="宋体" w:eastAsia="宋体"/>
    </w:rPr>
  </w:style>
  <w:style w:type="paragraph" w:customStyle="1" w:styleId="92">
    <w:name w:val="封面标准英文名称"/>
    <w:basedOn w:val="93"/>
    <w:qFormat/>
    <w:uiPriority w:val="0"/>
    <w:pPr>
      <w:spacing w:before="370" w:beforeLines="0" w:line="400" w:lineRule="exact"/>
    </w:pPr>
    <w:rPr>
      <w:rFonts w:ascii="Times New Roman"/>
      <w:sz w:val="28"/>
      <w:szCs w:val="28"/>
    </w:rPr>
  </w:style>
  <w:style w:type="paragraph" w:customStyle="1" w:styleId="9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5">
    <w:name w:val="封面标准文稿编辑信息2"/>
    <w:basedOn w:val="96"/>
    <w:qFormat/>
    <w:uiPriority w:val="0"/>
    <w:pPr>
      <w:framePr w:vAnchor="margin" w:hAnchor="text" w:y="4469"/>
    </w:pPr>
  </w:style>
  <w:style w:type="paragraph" w:customStyle="1" w:styleId="96">
    <w:name w:val="封面标准文稿编辑信息"/>
    <w:basedOn w:val="90"/>
    <w:qFormat/>
    <w:uiPriority w:val="0"/>
    <w:pPr>
      <w:spacing w:before="180" w:beforeLines="0" w:line="180" w:lineRule="exact"/>
    </w:pPr>
    <w:rPr>
      <w:sz w:val="21"/>
    </w:rPr>
  </w:style>
  <w:style w:type="paragraph" w:customStyle="1" w:styleId="97">
    <w:name w:val="新规范表"/>
    <w:basedOn w:val="98"/>
    <w:qFormat/>
    <w:uiPriority w:val="0"/>
    <w:pPr>
      <w:spacing w:beforeLines="0" w:line="240" w:lineRule="auto"/>
    </w:pPr>
    <w:rPr>
      <w:rFonts w:ascii="Times New Roman" w:hAnsi="Times New Roman"/>
      <w:sz w:val="20"/>
      <w:szCs w:val="20"/>
    </w:rPr>
  </w:style>
  <w:style w:type="paragraph" w:customStyle="1" w:styleId="98">
    <w:name w:val="规范表"/>
    <w:basedOn w:val="99"/>
    <w:qFormat/>
    <w:uiPriority w:val="99"/>
    <w:pPr>
      <w:spacing w:beforeLines="50"/>
    </w:pPr>
    <w:rPr>
      <w:rFonts w:ascii="宋体" w:hAnsi="宋体" w:eastAsia="宋体" w:cs="Times New Roman"/>
      <w:color w:val="000000"/>
      <w:kern w:val="0"/>
    </w:rPr>
  </w:style>
  <w:style w:type="paragraph" w:customStyle="1" w:styleId="99">
    <w:name w:val="规范图"/>
    <w:basedOn w:val="1"/>
    <w:qFormat/>
    <w:uiPriority w:val="99"/>
    <w:pPr>
      <w:spacing w:line="288" w:lineRule="auto"/>
      <w:jc w:val="center"/>
    </w:pPr>
    <w:rPr>
      <w:rFonts w:ascii="黑体" w:hAnsi="黑体" w:eastAsia="黑体" w:cs="黑体"/>
    </w:rPr>
  </w:style>
  <w:style w:type="paragraph" w:customStyle="1" w:styleId="100">
    <w:name w:val="正文公式编号制表符"/>
    <w:basedOn w:val="26"/>
    <w:next w:val="26"/>
    <w:qFormat/>
    <w:uiPriority w:val="0"/>
    <w:pPr>
      <w:ind w:firstLine="0" w:firstLineChars="0"/>
    </w:pPr>
  </w:style>
  <w:style w:type="paragraph" w:customStyle="1" w:styleId="101">
    <w:name w:val="_Style 100"/>
    <w:basedOn w:val="2"/>
    <w:next w:val="1"/>
    <w:qFormat/>
    <w:uiPriority w:val="39"/>
    <w:pPr>
      <w:keepNext/>
      <w:keepLines/>
      <w:widowControl/>
      <w:spacing w:before="240" w:beforeAutospacing="0" w:after="0" w:afterAutospacing="0" w:line="259" w:lineRule="auto"/>
      <w:outlineLvl w:val="9"/>
    </w:pPr>
    <w:rPr>
      <w:rFonts w:ascii="汉仪帅线体简" w:hAnsi="汉仪帅线体简" w:eastAsia="汉仪帅线体简" w:cs="Times New Roman"/>
      <w:b w:val="0"/>
      <w:color w:val="2F5496"/>
      <w:kern w:val="0"/>
      <w:sz w:val="32"/>
      <w:szCs w:val="32"/>
    </w:rPr>
  </w:style>
  <w:style w:type="paragraph" w:customStyle="1" w:styleId="10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4">
    <w:name w:val="三级条标题"/>
    <w:basedOn w:val="105"/>
    <w:next w:val="26"/>
    <w:qFormat/>
    <w:uiPriority w:val="0"/>
    <w:pPr>
      <w:outlineLvl w:val="4"/>
    </w:pPr>
  </w:style>
  <w:style w:type="paragraph" w:customStyle="1" w:styleId="105">
    <w:name w:val="二级条标题"/>
    <w:basedOn w:val="82"/>
    <w:next w:val="26"/>
    <w:qFormat/>
    <w:uiPriority w:val="0"/>
    <w:pPr>
      <w:numPr>
        <w:ilvl w:val="1"/>
        <w:numId w:val="6"/>
      </w:numPr>
      <w:outlineLvl w:val="3"/>
    </w:pPr>
  </w:style>
  <w:style w:type="paragraph" w:customStyle="1" w:styleId="106">
    <w:name w:val="Table Paragraph"/>
    <w:basedOn w:val="1"/>
    <w:qFormat/>
    <w:uiPriority w:val="1"/>
    <w:pPr>
      <w:autoSpaceDE w:val="0"/>
      <w:autoSpaceDN w:val="0"/>
      <w:jc w:val="left"/>
    </w:pPr>
    <w:rPr>
      <w:rFonts w:ascii="Arial" w:hAnsi="Arial" w:eastAsia="Arial" w:cs="Arial"/>
      <w:kern w:val="0"/>
      <w:sz w:val="22"/>
      <w:szCs w:val="22"/>
      <w:lang w:val="zh-CN" w:bidi="zh-CN"/>
    </w:rPr>
  </w:style>
  <w:style w:type="paragraph" w:customStyle="1" w:styleId="10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8">
    <w:name w:val="正文表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章标题"/>
    <w:next w:val="26"/>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目次、标准名称标题"/>
    <w:basedOn w:val="1"/>
    <w:next w:val="26"/>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112">
    <w:name w:val="封面一致性程度标识2"/>
    <w:basedOn w:val="91"/>
    <w:qFormat/>
    <w:uiPriority w:val="0"/>
    <w:pPr>
      <w:framePr w:vAnchor="margin" w:hAnchor="text" w:y="4469"/>
    </w:pPr>
  </w:style>
  <w:style w:type="paragraph" w:customStyle="1" w:styleId="113">
    <w:name w:val="示例"/>
    <w:next w:val="11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5">
    <w:name w:val="其他发布日期"/>
    <w:basedOn w:val="102"/>
    <w:qFormat/>
    <w:uiPriority w:val="0"/>
    <w:pPr>
      <w:framePr w:vAnchor="page" w:hAnchor="page" w:x="1419"/>
    </w:pPr>
  </w:style>
  <w:style w:type="paragraph" w:customStyle="1" w:styleId="116">
    <w:name w:val="示例后文字"/>
    <w:basedOn w:val="26"/>
    <w:next w:val="26"/>
    <w:qFormat/>
    <w:uiPriority w:val="0"/>
    <w:pPr>
      <w:ind w:firstLine="360"/>
    </w:pPr>
    <w:rPr>
      <w:sz w:val="18"/>
    </w:rPr>
  </w:style>
  <w:style w:type="paragraph" w:customStyle="1" w:styleId="117">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终结线"/>
    <w:basedOn w:val="1"/>
    <w:qFormat/>
    <w:uiPriority w:val="0"/>
    <w:pPr>
      <w:framePr w:hSpace="181" w:vSpace="181" w:wrap="around" w:vAnchor="text" w:hAnchor="margin" w:xAlign="center" w:y="285"/>
    </w:pPr>
  </w:style>
  <w:style w:type="paragraph" w:customStyle="1" w:styleId="119">
    <w:name w:val="五级条标题"/>
    <w:basedOn w:val="120"/>
    <w:next w:val="26"/>
    <w:qFormat/>
    <w:uiPriority w:val="0"/>
    <w:pPr>
      <w:outlineLvl w:val="6"/>
    </w:pPr>
  </w:style>
  <w:style w:type="paragraph" w:customStyle="1" w:styleId="120">
    <w:name w:val="四级条标题"/>
    <w:basedOn w:val="104"/>
    <w:next w:val="26"/>
    <w:qFormat/>
    <w:uiPriority w:val="0"/>
    <w:pPr>
      <w:outlineLvl w:val="5"/>
    </w:pPr>
  </w:style>
  <w:style w:type="paragraph" w:customStyle="1" w:styleId="12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2">
    <w:name w:val="二级无"/>
    <w:basedOn w:val="105"/>
    <w:qFormat/>
    <w:uiPriority w:val="0"/>
    <w:pPr>
      <w:spacing w:before="0" w:beforeLines="0" w:after="0" w:afterLines="0"/>
    </w:pPr>
    <w:rPr>
      <w:rFonts w:ascii="宋体" w:eastAsia="宋体"/>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附录五级条标题"/>
    <w:basedOn w:val="125"/>
    <w:next w:val="26"/>
    <w:qFormat/>
    <w:uiPriority w:val="0"/>
    <w:pPr>
      <w:tabs>
        <w:tab w:val="left" w:pos="360"/>
      </w:tabs>
      <w:outlineLvl w:val="6"/>
    </w:pPr>
  </w:style>
  <w:style w:type="paragraph" w:customStyle="1" w:styleId="125">
    <w:name w:val="附录四级条标题"/>
    <w:basedOn w:val="60"/>
    <w:next w:val="26"/>
    <w:qFormat/>
    <w:uiPriority w:val="0"/>
    <w:pPr>
      <w:outlineLvl w:val="5"/>
    </w:pPr>
  </w:style>
  <w:style w:type="paragraph" w:customStyle="1" w:styleId="1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7">
    <w:name w:val="参考文献、索引标题"/>
    <w:basedOn w:val="1"/>
    <w:next w:val="26"/>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28">
    <w:name w:val="示例×："/>
    <w:basedOn w:val="109"/>
    <w:qFormat/>
    <w:uiPriority w:val="0"/>
    <w:pPr>
      <w:numPr>
        <w:ilvl w:val="0"/>
        <w:numId w:val="0"/>
      </w:numPr>
      <w:spacing w:before="0" w:beforeLines="0" w:after="0" w:afterLines="0"/>
      <w:ind w:firstLine="363"/>
      <w:outlineLvl w:val="9"/>
    </w:pPr>
    <w:rPr>
      <w:rFonts w:ascii="宋体" w:eastAsia="宋体"/>
      <w:sz w:val="18"/>
      <w:szCs w:val="18"/>
    </w:rPr>
  </w:style>
  <w:style w:type="paragraph" w:customStyle="1" w:styleId="129">
    <w:name w:val="其他标准标志"/>
    <w:basedOn w:val="107"/>
    <w:qFormat/>
    <w:uiPriority w:val="0"/>
    <w:pPr>
      <w:framePr w:w="6101" w:vAnchor="page" w:hAnchor="page" w:x="4673" w:y="942"/>
    </w:pPr>
    <w:rPr>
      <w:w w:val="130"/>
    </w:rPr>
  </w:style>
  <w:style w:type="paragraph" w:customStyle="1" w:styleId="13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1">
    <w:name w:val="五级无"/>
    <w:basedOn w:val="119"/>
    <w:qFormat/>
    <w:uiPriority w:val="0"/>
    <w:pPr>
      <w:spacing w:before="0" w:beforeLines="0" w:after="0" w:afterLines="0"/>
    </w:pPr>
    <w:rPr>
      <w:rFonts w:ascii="宋体" w:eastAsia="宋体"/>
    </w:rPr>
  </w:style>
  <w:style w:type="paragraph" w:customStyle="1" w:styleId="132">
    <w:name w:val="其他实施日期"/>
    <w:basedOn w:val="133"/>
    <w:qFormat/>
    <w:uiPriority w:val="0"/>
    <w:pPr>
      <w:framePr w:vAnchor="page" w:hAnchor="page"/>
    </w:pPr>
  </w:style>
  <w:style w:type="paragraph" w:customStyle="1" w:styleId="133">
    <w:name w:val="实施日期"/>
    <w:basedOn w:val="102"/>
    <w:qFormat/>
    <w:uiPriority w:val="0"/>
    <w:pPr>
      <w:framePr w:vAnchor="page" w:hAnchor="text"/>
      <w:jc w:val="right"/>
    </w:pPr>
  </w:style>
  <w:style w:type="paragraph" w:customStyle="1" w:styleId="134">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封面标准名称2"/>
    <w:basedOn w:val="93"/>
    <w:qFormat/>
    <w:uiPriority w:val="0"/>
    <w:pPr>
      <w:framePr w:vAnchor="margin" w:hAnchor="text" w:y="4469"/>
      <w:spacing w:before="1965" w:beforeLines="630"/>
    </w:pPr>
  </w:style>
  <w:style w:type="paragraph" w:customStyle="1" w:styleId="136">
    <w:name w:val="四级无"/>
    <w:basedOn w:val="120"/>
    <w:qFormat/>
    <w:uiPriority w:val="0"/>
    <w:pPr>
      <w:spacing w:before="0" w:beforeLines="0" w:after="0" w:afterLines="0"/>
    </w:pPr>
    <w:rPr>
      <w:rFonts w:ascii="宋体" w:eastAsia="宋体"/>
    </w:rPr>
  </w:style>
  <w:style w:type="paragraph" w:customStyle="1" w:styleId="137">
    <w:name w:val="列项◆（三级）"/>
    <w:basedOn w:val="1"/>
    <w:qFormat/>
    <w:uiPriority w:val="0"/>
    <w:pPr>
      <w:numPr>
        <w:ilvl w:val="2"/>
        <w:numId w:val="7"/>
      </w:numPr>
    </w:pPr>
    <w:rPr>
      <w:rFonts w:ascii="宋体"/>
      <w:szCs w:val="21"/>
    </w:rPr>
  </w:style>
  <w:style w:type="paragraph" w:customStyle="1" w:styleId="138">
    <w:name w:val="WPSOffice手动目录 3"/>
    <w:qFormat/>
    <w:uiPriority w:val="0"/>
    <w:pPr>
      <w:ind w:leftChars="400"/>
    </w:pPr>
    <w:rPr>
      <w:rFonts w:ascii="Times New Roman" w:hAnsi="Times New Roman" w:eastAsia="宋体" w:cs="Times New Roman"/>
      <w:lang w:val="en-US" w:eastAsia="zh-CN" w:bidi="ar-SA"/>
    </w:rPr>
  </w:style>
  <w:style w:type="paragraph" w:customStyle="1" w:styleId="139">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140">
    <w:name w:val="注：（正文）"/>
    <w:basedOn w:val="141"/>
    <w:next w:val="26"/>
    <w:qFormat/>
    <w:uiPriority w:val="0"/>
  </w:style>
  <w:style w:type="paragraph" w:customStyle="1" w:styleId="141">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42">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143">
    <w:name w:val="附录表标题"/>
    <w:basedOn w:val="1"/>
    <w:next w:val="26"/>
    <w:qFormat/>
    <w:uiPriority w:val="0"/>
    <w:pPr>
      <w:numPr>
        <w:ilvl w:val="1"/>
        <w:numId w:val="2"/>
      </w:numPr>
      <w:tabs>
        <w:tab w:val="left" w:pos="180"/>
      </w:tabs>
      <w:spacing w:before="156" w:beforeLines="50" w:after="156" w:afterLines="50"/>
      <w:ind w:left="0" w:firstLine="0"/>
      <w:jc w:val="center"/>
    </w:pPr>
    <w:rPr>
      <w:rFonts w:ascii="黑体" w:eastAsia="黑体"/>
      <w:szCs w:val="21"/>
    </w:rPr>
  </w:style>
  <w:style w:type="paragraph" w:customStyle="1" w:styleId="144">
    <w:name w:val="WPSOffice手动目录 1"/>
    <w:qFormat/>
    <w:uiPriority w:val="0"/>
    <w:rPr>
      <w:rFonts w:ascii="Times New Roman" w:hAnsi="Times New Roman" w:eastAsia="宋体" w:cs="Times New Roman"/>
      <w:lang w:val="en-US" w:eastAsia="zh-CN" w:bidi="ar-SA"/>
    </w:rPr>
  </w:style>
  <w:style w:type="paragraph" w:customStyle="1" w:styleId="145">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46">
    <w:name w:val="List Paragraph"/>
    <w:basedOn w:val="1"/>
    <w:qFormat/>
    <w:uiPriority w:val="34"/>
    <w:pPr>
      <w:ind w:firstLine="420" w:firstLineChars="200"/>
    </w:pPr>
    <w:rPr>
      <w:rFonts w:ascii="Calibri" w:hAnsi="Calibri" w:eastAsia="宋体" w:cs="Times New Roman"/>
      <w:szCs w:val="22"/>
    </w:rPr>
  </w:style>
  <w:style w:type="paragraph" w:customStyle="1" w:styleId="147">
    <w:name w:val="标准书眉一"/>
    <w:qFormat/>
    <w:uiPriority w:val="0"/>
    <w:pPr>
      <w:jc w:val="both"/>
    </w:pPr>
    <w:rPr>
      <w:rFonts w:ascii="Times New Roman" w:hAnsi="Times New Roman" w:eastAsia="宋体" w:cs="Times New Roman"/>
      <w:lang w:val="en-US" w:eastAsia="zh-CN" w:bidi="ar-SA"/>
    </w:rPr>
  </w:style>
  <w:style w:type="paragraph" w:customStyle="1" w:styleId="14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9">
    <w:name w:val="附录五级无"/>
    <w:basedOn w:val="124"/>
    <w:qFormat/>
    <w:uiPriority w:val="0"/>
    <w:pPr>
      <w:tabs>
        <w:tab w:val="clear" w:pos="360"/>
      </w:tabs>
      <w:spacing w:before="0" w:beforeLines="0" w:after="0" w:afterLines="0"/>
    </w:pPr>
    <w:rPr>
      <w:rFonts w:ascii="宋体" w:eastAsia="宋体"/>
      <w:szCs w:val="21"/>
    </w:rPr>
  </w:style>
  <w:style w:type="paragraph" w:customStyle="1" w:styleId="150">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151">
    <w:name w:val="附录标题"/>
    <w:basedOn w:val="26"/>
    <w:next w:val="26"/>
    <w:qFormat/>
    <w:uiPriority w:val="0"/>
    <w:pPr>
      <w:ind w:firstLine="0" w:firstLineChars="0"/>
      <w:jc w:val="center"/>
    </w:pPr>
    <w:rPr>
      <w:rFonts w:ascii="黑体" w:eastAsia="黑体"/>
    </w:rPr>
  </w:style>
  <w:style w:type="paragraph" w:customStyle="1" w:styleId="152">
    <w:name w:val="封面标准文稿类别2"/>
    <w:basedOn w:val="90"/>
    <w:qFormat/>
    <w:uiPriority w:val="0"/>
    <w:pPr>
      <w:framePr w:vAnchor="margin" w:hAnchor="text" w:y="4469"/>
    </w:pPr>
  </w:style>
  <w:style w:type="paragraph" w:customStyle="1" w:styleId="153">
    <w:name w:val="附录图标题"/>
    <w:basedOn w:val="1"/>
    <w:next w:val="26"/>
    <w:qFormat/>
    <w:uiPriority w:val="0"/>
    <w:pPr>
      <w:numPr>
        <w:ilvl w:val="1"/>
        <w:numId w:val="3"/>
      </w:numPr>
      <w:tabs>
        <w:tab w:val="left" w:pos="363"/>
      </w:tabs>
      <w:spacing w:before="156" w:beforeLines="50" w:after="156" w:afterLines="50"/>
      <w:ind w:left="0" w:firstLine="0"/>
      <w:jc w:val="center"/>
    </w:pPr>
    <w:rPr>
      <w:rFonts w:ascii="黑体" w:eastAsia="黑体"/>
      <w:szCs w:val="21"/>
    </w:rPr>
  </w:style>
  <w:style w:type="paragraph" w:customStyle="1" w:styleId="15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5">
    <w:name w:val="其他发布部门"/>
    <w:basedOn w:val="148"/>
    <w:uiPriority w:val="0"/>
    <w:pPr>
      <w:framePr w:vAnchor="margin" w:hAnchor="text" w:y="15310"/>
      <w:spacing w:line="0" w:lineRule="atLeast"/>
    </w:pPr>
    <w:rPr>
      <w:rFonts w:ascii="黑体" w:eastAsia="黑体"/>
      <w:b w:val="0"/>
    </w:rPr>
  </w:style>
  <w:style w:type="paragraph" w:customStyle="1" w:styleId="156">
    <w:name w:val="一级无"/>
    <w:basedOn w:val="82"/>
    <w:qFormat/>
    <w:uiPriority w:val="0"/>
    <w:pPr>
      <w:spacing w:before="0" w:beforeLines="0" w:after="0" w:afterLines="0"/>
    </w:pPr>
    <w:rPr>
      <w:rFonts w:ascii="宋体" w:eastAsia="宋体"/>
    </w:rPr>
  </w:style>
  <w:style w:type="paragraph" w:customStyle="1" w:styleId="157">
    <w:name w:val="WPSOffice手动目录 2"/>
    <w:uiPriority w:val="0"/>
    <w:pPr>
      <w:ind w:leftChars="200"/>
    </w:pPr>
    <w:rPr>
      <w:rFonts w:ascii="Times New Roman" w:hAnsi="Times New Roman" w:eastAsia="宋体" w:cs="Times New Roman"/>
      <w:lang w:val="en-US" w:eastAsia="zh-CN" w:bidi="ar-SA"/>
    </w:rPr>
  </w:style>
  <w:style w:type="paragraph" w:customStyle="1" w:styleId="158">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159">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0">
    <w:name w:val="附录四级无"/>
    <w:basedOn w:val="125"/>
    <w:qFormat/>
    <w:uiPriority w:val="0"/>
    <w:pPr>
      <w:spacing w:before="0" w:beforeLines="0" w:after="0" w:afterLines="0"/>
    </w:pPr>
    <w:rPr>
      <w:rFonts w:ascii="宋体" w:eastAsia="宋体"/>
      <w:szCs w:val="21"/>
    </w:rPr>
  </w:style>
  <w:style w:type="paragraph" w:customStyle="1" w:styleId="161">
    <w:name w:val="图标脚注说明"/>
    <w:basedOn w:val="26"/>
    <w:uiPriority w:val="0"/>
    <w:pPr>
      <w:ind w:left="840" w:hanging="420" w:firstLineChars="0"/>
    </w:pPr>
    <w:rPr>
      <w:sz w:val="18"/>
      <w:szCs w:val="18"/>
    </w:rPr>
  </w:style>
  <w:style w:type="paragraph" w:customStyle="1" w:styleId="162">
    <w:name w:val="参考文献"/>
    <w:basedOn w:val="1"/>
    <w:next w:val="26"/>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63">
    <w:name w:val="正文图标题"/>
    <w:next w:val="26"/>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64">
    <w:name w:val="新规范表头"/>
    <w:basedOn w:val="97"/>
    <w:qFormat/>
    <w:uiPriority w:val="0"/>
    <w:pPr>
      <w:spacing w:beforeLines="50" w:afterLines="50"/>
    </w:pPr>
    <w:rPr>
      <w:rFonts w:ascii="黑体" w:hAnsi="黑体" w:eastAsia="黑体" w:cs="黑体"/>
      <w:sz w:val="21"/>
      <w:szCs w:val="21"/>
    </w:rPr>
  </w:style>
  <w:style w:type="paragraph" w:customStyle="1" w:styleId="165">
    <w:name w:val="新规范3"/>
    <w:basedOn w:val="1"/>
    <w:qFormat/>
    <w:uiPriority w:val="99"/>
    <w:pPr>
      <w:spacing w:before="120" w:after="120" w:line="288" w:lineRule="auto"/>
      <w:ind w:left="562"/>
    </w:pPr>
    <w:rPr>
      <w:rFonts w:ascii="Times New Roman" w:hAnsi="Times New Roman" w:eastAsia="黑体" w:cs="Times New Roman"/>
    </w:rPr>
  </w:style>
  <w:style w:type="paragraph" w:customStyle="1" w:styleId="166">
    <w:name w:val="列项●（二级）"/>
    <w:qFormat/>
    <w:uiPriority w:val="0"/>
    <w:pPr>
      <w:numPr>
        <w:ilvl w:val="1"/>
        <w:numId w:val="7"/>
      </w:numPr>
      <w:tabs>
        <w:tab w:val="left" w:pos="840"/>
        <w:tab w:val="clear" w:pos="760"/>
      </w:tabs>
      <w:jc w:val="both"/>
    </w:pPr>
    <w:rPr>
      <w:rFonts w:ascii="宋体" w:hAnsi="Times New Roman" w:eastAsia="宋体" w:cs="Times New Roman"/>
      <w:sz w:val="21"/>
      <w:lang w:val="en-US" w:eastAsia="zh-CN" w:bidi="ar-SA"/>
    </w:rPr>
  </w:style>
  <w:style w:type="paragraph" w:customStyle="1" w:styleId="16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8">
    <w:name w:val="三级无"/>
    <w:basedOn w:val="104"/>
    <w:uiPriority w:val="0"/>
    <w:pPr>
      <w:spacing w:before="0" w:beforeLines="0" w:after="0" w:afterLines="0"/>
    </w:pPr>
    <w:rPr>
      <w:rFonts w:ascii="宋体" w:eastAsia="宋体"/>
    </w:rPr>
  </w:style>
  <w:style w:type="paragraph" w:customStyle="1" w:styleId="169">
    <w:name w:val="封面标准英文名称2"/>
    <w:basedOn w:val="92"/>
    <w:uiPriority w:val="0"/>
    <w:pPr>
      <w:framePr w:vAnchor="margin" w:hAnchor="text" w:y="4469"/>
    </w:pPr>
  </w:style>
  <w:style w:type="paragraph" w:customStyle="1" w:styleId="1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1">
    <w:name w:val="图表脚注说明"/>
    <w:basedOn w:val="1"/>
    <w:qFormat/>
    <w:uiPriority w:val="0"/>
    <w:pPr>
      <w:ind w:left="544" w:hanging="181"/>
    </w:pPr>
    <w:rPr>
      <w:rFonts w:ascii="宋体"/>
      <w:sz w:val="18"/>
      <w:szCs w:val="18"/>
    </w:rPr>
  </w:style>
  <w:style w:type="paragraph" w:customStyle="1" w:styleId="17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3">
    <w:name w:val="注×：（正文）"/>
    <w:qFormat/>
    <w:uiPriority w:val="0"/>
    <w:pPr>
      <w:numPr>
        <w:ilvl w:val="0"/>
        <w:numId w:val="9"/>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6125</Words>
  <Characters>6435</Characters>
  <Lines>42</Lines>
  <Paragraphs>12</Paragraphs>
  <TotalTime>10</TotalTime>
  <ScaleCrop>false</ScaleCrop>
  <LinksUpToDate>false</LinksUpToDate>
  <CharactersWithSpaces>6515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2020-03-23T08:39:00Z</dcterms:created>
  <dc:creator>Martin.Wang</dc:creator>
  <cp:lastModifiedBy>广东商标协会</cp:lastModifiedBy>
  <cp:lastPrinted>2023-06-16T16:33:00Z</cp:lastPrinted>
  <dcterms:modified xsi:type="dcterms:W3CDTF">2025-08-13T02:59:56Z</dcterms:modified>
  <dc:title>标准名称</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2A6FDDDF4C2B4476B002F15B0557AC2C_13</vt:lpwstr>
  </property>
  <property fmtid="{D5CDD505-2E9C-101B-9397-08002B2CF9AE}" pid="4" name="KSOTemplateDocerSaveRecord">
    <vt:lpwstr>eyJoZGlkIjoiMzUzNzAyNjdkODQxNThjZTA1NDZmY2MxOTllMDM2MGYiLCJ1c2VySWQiOiIxNDYwNjQ5NTI3In0=</vt:lpwstr>
  </property>
</Properties>
</file>